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90A9F" w14:textId="77777777" w:rsidR="00F07669" w:rsidRPr="00D06880" w:rsidRDefault="00FD095F" w:rsidP="000D7CF2">
      <w:pPr>
        <w:rPr>
          <w:rFonts w:ascii="Arial" w:hAnsi="Arial" w:cs="Arial"/>
          <w:b/>
          <w:sz w:val="22"/>
          <w:szCs w:val="22"/>
        </w:rPr>
      </w:pPr>
      <w:r w:rsidRPr="00D06880">
        <w:rPr>
          <w:rFonts w:ascii="Arial" w:hAnsi="Arial" w:cs="Arial"/>
          <w:noProof/>
          <w:sz w:val="22"/>
          <w:szCs w:val="22"/>
        </w:rPr>
        <w:drawing>
          <wp:anchor distT="0" distB="0" distL="114300" distR="114300" simplePos="0" relativeHeight="251657216" behindDoc="0" locked="0" layoutInCell="1" allowOverlap="1" wp14:anchorId="60456726" wp14:editId="069C9BAC">
            <wp:simplePos x="0" y="0"/>
            <wp:positionH relativeFrom="column">
              <wp:posOffset>-259715</wp:posOffset>
            </wp:positionH>
            <wp:positionV relativeFrom="paragraph">
              <wp:posOffset>120630</wp:posOffset>
            </wp:positionV>
            <wp:extent cx="1266825" cy="1015365"/>
            <wp:effectExtent l="0" t="0" r="0" b="0"/>
            <wp:wrapNone/>
            <wp:docPr id="13" name="Picture 3" descr="CWMWDB_Logo 20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WMWDB_Logo 201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6825" cy="10153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0C0A98D" w14:textId="61F153D5" w:rsidR="008C1E6B" w:rsidRPr="00D06880" w:rsidRDefault="004979D6" w:rsidP="000D7CF2">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14:anchorId="0229EC39" wp14:editId="31B10243">
                <wp:simplePos x="0" y="0"/>
                <wp:positionH relativeFrom="column">
                  <wp:posOffset>3102015</wp:posOffset>
                </wp:positionH>
                <wp:positionV relativeFrom="paragraph">
                  <wp:posOffset>50583</wp:posOffset>
                </wp:positionV>
                <wp:extent cx="2835798" cy="752354"/>
                <wp:effectExtent l="0" t="0" r="0" b="0"/>
                <wp:wrapNone/>
                <wp:docPr id="1" name="Text Box 1"/>
                <wp:cNvGraphicFramePr/>
                <a:graphic xmlns:a="http://schemas.openxmlformats.org/drawingml/2006/main">
                  <a:graphicData uri="http://schemas.microsoft.com/office/word/2010/wordprocessingShape">
                    <wps:wsp>
                      <wps:cNvSpPr txBox="1"/>
                      <wps:spPr>
                        <a:xfrm>
                          <a:off x="0" y="0"/>
                          <a:ext cx="2835798" cy="752354"/>
                        </a:xfrm>
                        <a:prstGeom prst="rect">
                          <a:avLst/>
                        </a:prstGeom>
                        <a:solidFill>
                          <a:schemeClr val="lt1"/>
                        </a:solidFill>
                        <a:ln w="6350">
                          <a:noFill/>
                        </a:ln>
                      </wps:spPr>
                      <wps:txbx>
                        <w:txbxContent>
                          <w:p w14:paraId="6A6A7053" w14:textId="77777777" w:rsidR="004979D6" w:rsidRPr="00D06880" w:rsidRDefault="004979D6" w:rsidP="004979D6">
                            <w:pPr>
                              <w:pStyle w:val="Heading5"/>
                              <w:jc w:val="right"/>
                              <w:rPr>
                                <w:rFonts w:cs="Arial"/>
                                <w:b w:val="0"/>
                                <w:i w:val="0"/>
                                <w:szCs w:val="22"/>
                              </w:rPr>
                            </w:pPr>
                            <w:r w:rsidRPr="00D06880">
                              <w:rPr>
                                <w:rFonts w:cs="Arial"/>
                                <w:b w:val="0"/>
                                <w:i w:val="0"/>
                                <w:szCs w:val="22"/>
                              </w:rPr>
                              <w:t>77 Winthrop Street</w:t>
                            </w:r>
                          </w:p>
                          <w:p w14:paraId="10640A2E" w14:textId="77777777" w:rsidR="004979D6" w:rsidRPr="00D06880" w:rsidRDefault="004979D6" w:rsidP="004979D6">
                            <w:pPr>
                              <w:pStyle w:val="Heading5"/>
                              <w:jc w:val="right"/>
                              <w:rPr>
                                <w:rFonts w:cs="Arial"/>
                                <w:b w:val="0"/>
                                <w:i w:val="0"/>
                                <w:szCs w:val="22"/>
                              </w:rPr>
                            </w:pPr>
                            <w:r w:rsidRPr="00D06880">
                              <w:rPr>
                                <w:rFonts w:cs="Arial"/>
                                <w:b w:val="0"/>
                                <w:i w:val="0"/>
                                <w:szCs w:val="22"/>
                              </w:rPr>
                              <w:t>Augusta, Maine 04330</w:t>
                            </w:r>
                          </w:p>
                          <w:p w14:paraId="68E73B02" w14:textId="6EB09F27" w:rsidR="004979D6" w:rsidRDefault="004979D6" w:rsidP="004979D6">
                            <w:pPr>
                              <w:jc w:val="right"/>
                              <w:rPr>
                                <w:rFonts w:ascii="Arial" w:hAnsi="Arial" w:cs="Arial"/>
                                <w:bCs/>
                                <w:sz w:val="22"/>
                                <w:szCs w:val="22"/>
                              </w:rPr>
                            </w:pPr>
                            <w:r w:rsidRPr="00D06880">
                              <w:rPr>
                                <w:rFonts w:ascii="Arial" w:hAnsi="Arial" w:cs="Arial"/>
                                <w:bCs/>
                                <w:sz w:val="22"/>
                                <w:szCs w:val="22"/>
                              </w:rPr>
                              <w:t xml:space="preserve">  207-241-4100</w:t>
                            </w:r>
                          </w:p>
                          <w:p w14:paraId="08D67AB5" w14:textId="4142A1C8" w:rsidR="002933CC" w:rsidRPr="00D06880" w:rsidRDefault="002933CC" w:rsidP="004979D6">
                            <w:pPr>
                              <w:jc w:val="right"/>
                              <w:rPr>
                                <w:rFonts w:ascii="Arial" w:hAnsi="Arial" w:cs="Arial"/>
                                <w:bCs/>
                                <w:sz w:val="22"/>
                                <w:szCs w:val="22"/>
                              </w:rPr>
                            </w:pPr>
                            <w:r>
                              <w:rPr>
                                <w:rFonts w:ascii="Arial" w:hAnsi="Arial" w:cs="Arial"/>
                                <w:bCs/>
                                <w:sz w:val="22"/>
                                <w:szCs w:val="22"/>
                              </w:rPr>
                              <w:t>cwmwdb.com</w:t>
                            </w:r>
                          </w:p>
                          <w:p w14:paraId="09CFB3B1" w14:textId="77777777" w:rsidR="004979D6" w:rsidRPr="00D06880" w:rsidRDefault="004979D6" w:rsidP="004979D6">
                            <w:pPr>
                              <w:ind w:left="7200"/>
                              <w:jc w:val="right"/>
                              <w:rPr>
                                <w:rFonts w:ascii="Arial" w:hAnsi="Arial" w:cs="Arial"/>
                                <w:sz w:val="22"/>
                                <w:szCs w:val="22"/>
                              </w:rPr>
                            </w:pPr>
                            <w:r w:rsidRPr="00D06880">
                              <w:rPr>
                                <w:rFonts w:ascii="Arial" w:hAnsi="Arial" w:cs="Arial"/>
                                <w:sz w:val="22"/>
                                <w:szCs w:val="22"/>
                              </w:rPr>
                              <w:t>www.cwmwdb.org</w:t>
                            </w:r>
                          </w:p>
                          <w:p w14:paraId="002D395D" w14:textId="77777777" w:rsidR="004979D6" w:rsidRPr="00D06880" w:rsidRDefault="004979D6" w:rsidP="004979D6">
                            <w:pPr>
                              <w:rPr>
                                <w:rFonts w:ascii="Arial" w:hAnsi="Arial" w:cs="Arial"/>
                                <w:sz w:val="22"/>
                                <w:szCs w:val="22"/>
                              </w:rPr>
                            </w:pPr>
                          </w:p>
                          <w:p w14:paraId="290B28B7" w14:textId="77777777" w:rsidR="004979D6" w:rsidRDefault="004979D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229EC39" id="_x0000_t202" coordsize="21600,21600" o:spt="202" path="m,l,21600r21600,l21600,xe">
                <v:stroke joinstyle="miter"/>
                <v:path gradientshapeok="t" o:connecttype="rect"/>
              </v:shapetype>
              <v:shape id="Text Box 1" o:spid="_x0000_s1026" type="#_x0000_t202" style="position:absolute;left:0;text-align:left;margin-left:244.25pt;margin-top:4pt;width:223.3pt;height:59.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" fillcolor="white [3201]" stroked="f" strokeweight=".5pt">
                <v:textbox>
                  <w:txbxContent>
                    <w:p w14:paraId="6A6A7053" w14:textId="77777777" w:rsidR="004979D6" w:rsidRPr="00D06880" w:rsidRDefault="004979D6" w:rsidP="004979D6">
                      <w:pPr>
                        <w:pStyle w:val="Heading5"/>
                        <w:jc w:val="right"/>
                        <w:rPr>
                          <w:rFonts w:cs="Arial"/>
                          <w:b w:val="0"/>
                          <w:i w:val="0"/>
                          <w:szCs w:val="22"/>
                        </w:rPr>
                      </w:pPr>
                      <w:r w:rsidRPr="00D06880">
                        <w:rPr>
                          <w:rFonts w:cs="Arial"/>
                          <w:b w:val="0"/>
                          <w:i w:val="0"/>
                          <w:szCs w:val="22"/>
                        </w:rPr>
                        <w:t>77 Winthrop Street</w:t>
                      </w:r>
                    </w:p>
                    <w:p w14:paraId="10640A2E" w14:textId="77777777" w:rsidR="004979D6" w:rsidRPr="00D06880" w:rsidRDefault="004979D6" w:rsidP="004979D6">
                      <w:pPr>
                        <w:pStyle w:val="Heading5"/>
                        <w:jc w:val="right"/>
                        <w:rPr>
                          <w:rFonts w:cs="Arial"/>
                          <w:b w:val="0"/>
                          <w:i w:val="0"/>
                          <w:szCs w:val="22"/>
                        </w:rPr>
                      </w:pPr>
                      <w:r w:rsidRPr="00D06880">
                        <w:rPr>
                          <w:rFonts w:cs="Arial"/>
                          <w:b w:val="0"/>
                          <w:i w:val="0"/>
                          <w:szCs w:val="22"/>
                        </w:rPr>
                        <w:t>Augusta, Maine 04330</w:t>
                      </w:r>
                    </w:p>
                    <w:p w14:paraId="68E73B02" w14:textId="6EB09F27" w:rsidR="004979D6" w:rsidRDefault="004979D6" w:rsidP="004979D6">
                      <w:pPr>
                        <w:jc w:val="right"/>
                        <w:rPr>
                          <w:rFonts w:ascii="Arial" w:hAnsi="Arial" w:cs="Arial"/>
                          <w:bCs/>
                          <w:sz w:val="22"/>
                          <w:szCs w:val="22"/>
                        </w:rPr>
                      </w:pPr>
                      <w:r w:rsidRPr="00D06880">
                        <w:rPr>
                          <w:rFonts w:ascii="Arial" w:hAnsi="Arial" w:cs="Arial"/>
                          <w:bCs/>
                          <w:sz w:val="22"/>
                          <w:szCs w:val="22"/>
                        </w:rPr>
                        <w:t xml:space="preserve">  207-241-4100</w:t>
                      </w:r>
                    </w:p>
                    <w:p w14:paraId="08D67AB5" w14:textId="4142A1C8" w:rsidR="002933CC" w:rsidRPr="00D06880" w:rsidRDefault="002933CC" w:rsidP="004979D6">
                      <w:pPr>
                        <w:jc w:val="right"/>
                        <w:rPr>
                          <w:rFonts w:ascii="Arial" w:hAnsi="Arial" w:cs="Arial"/>
                          <w:bCs/>
                          <w:sz w:val="22"/>
                          <w:szCs w:val="22"/>
                        </w:rPr>
                      </w:pPr>
                      <w:r>
                        <w:rPr>
                          <w:rFonts w:ascii="Arial" w:hAnsi="Arial" w:cs="Arial"/>
                          <w:bCs/>
                          <w:sz w:val="22"/>
                          <w:szCs w:val="22"/>
                        </w:rPr>
                        <w:t>cwmwdb.com</w:t>
                      </w:r>
                    </w:p>
                    <w:p w14:paraId="09CFB3B1" w14:textId="77777777" w:rsidR="004979D6" w:rsidRPr="00D06880" w:rsidRDefault="004979D6" w:rsidP="004979D6">
                      <w:pPr>
                        <w:ind w:left="7200"/>
                        <w:jc w:val="right"/>
                        <w:rPr>
                          <w:rFonts w:ascii="Arial" w:hAnsi="Arial" w:cs="Arial"/>
                          <w:sz w:val="22"/>
                          <w:szCs w:val="22"/>
                        </w:rPr>
                      </w:pPr>
                      <w:r w:rsidRPr="00D06880">
                        <w:rPr>
                          <w:rFonts w:ascii="Arial" w:hAnsi="Arial" w:cs="Arial"/>
                          <w:sz w:val="22"/>
                          <w:szCs w:val="22"/>
                        </w:rPr>
                        <w:t>www.cwmwdb.org</w:t>
                      </w:r>
                    </w:p>
                    <w:p w14:paraId="002D395D" w14:textId="77777777" w:rsidR="004979D6" w:rsidRPr="00D06880" w:rsidRDefault="004979D6" w:rsidP="004979D6">
                      <w:pPr>
                        <w:rPr>
                          <w:rFonts w:ascii="Arial" w:hAnsi="Arial" w:cs="Arial"/>
                          <w:sz w:val="22"/>
                          <w:szCs w:val="22"/>
                        </w:rPr>
                      </w:pPr>
                    </w:p>
                    <w:p w14:paraId="290B28B7" w14:textId="77777777" w:rsidR="004979D6" w:rsidRDefault="004979D6"/>
                  </w:txbxContent>
                </v:textbox>
              </v:shape>
            </w:pict>
          </mc:Fallback>
        </mc:AlternateContent>
      </w:r>
    </w:p>
    <w:p w14:paraId="1FF414A8" w14:textId="40CFB12F" w:rsidR="00915BC5" w:rsidRDefault="00915BC5" w:rsidP="000D7CF2">
      <w:pPr>
        <w:jc w:val="both"/>
        <w:rPr>
          <w:rFonts w:ascii="Arial" w:hAnsi="Arial" w:cs="Arial"/>
          <w:sz w:val="22"/>
          <w:szCs w:val="22"/>
        </w:rPr>
      </w:pPr>
    </w:p>
    <w:p w14:paraId="7ACD3282" w14:textId="2D17AEA6" w:rsidR="004979D6" w:rsidRDefault="004979D6" w:rsidP="000D7CF2">
      <w:pPr>
        <w:jc w:val="both"/>
        <w:rPr>
          <w:rFonts w:ascii="Arial" w:hAnsi="Arial" w:cs="Arial"/>
          <w:sz w:val="22"/>
          <w:szCs w:val="22"/>
        </w:rPr>
      </w:pPr>
    </w:p>
    <w:p w14:paraId="0093CEE1" w14:textId="41744689" w:rsidR="004979D6" w:rsidRDefault="004979D6" w:rsidP="000D7CF2">
      <w:pPr>
        <w:jc w:val="both"/>
        <w:rPr>
          <w:rFonts w:ascii="Arial" w:hAnsi="Arial" w:cs="Arial"/>
          <w:sz w:val="22"/>
          <w:szCs w:val="22"/>
        </w:rPr>
      </w:pPr>
    </w:p>
    <w:p w14:paraId="24C2C379" w14:textId="5ED1C5C2" w:rsidR="004979D6" w:rsidRDefault="004979D6" w:rsidP="000D7CF2">
      <w:pPr>
        <w:jc w:val="both"/>
        <w:rPr>
          <w:rFonts w:ascii="Arial" w:hAnsi="Arial" w:cs="Arial"/>
          <w:sz w:val="22"/>
          <w:szCs w:val="22"/>
        </w:rPr>
      </w:pPr>
    </w:p>
    <w:p w14:paraId="309C8449" w14:textId="7F8BB211" w:rsidR="004979D6" w:rsidRDefault="004979D6" w:rsidP="000D7CF2">
      <w:pPr>
        <w:jc w:val="both"/>
        <w:rPr>
          <w:rFonts w:ascii="Arial" w:hAnsi="Arial" w:cs="Arial"/>
          <w:sz w:val="22"/>
          <w:szCs w:val="22"/>
        </w:rPr>
      </w:pPr>
    </w:p>
    <w:p w14:paraId="2D3B364E" w14:textId="539F1930" w:rsidR="004979D6" w:rsidRDefault="004979D6" w:rsidP="000D7CF2">
      <w:pPr>
        <w:jc w:val="both"/>
        <w:rPr>
          <w:rFonts w:ascii="Arial" w:hAnsi="Arial" w:cs="Arial"/>
          <w:sz w:val="22"/>
          <w:szCs w:val="22"/>
        </w:rPr>
      </w:pPr>
    </w:p>
    <w:p w14:paraId="199631E3" w14:textId="77777777" w:rsidR="004979D6" w:rsidRPr="00D06880" w:rsidRDefault="004979D6" w:rsidP="000D7CF2">
      <w:pPr>
        <w:jc w:val="both"/>
        <w:rPr>
          <w:rFonts w:ascii="Arial" w:hAnsi="Arial" w:cs="Arial"/>
          <w:sz w:val="22"/>
          <w:szCs w:val="22"/>
        </w:rPr>
      </w:pPr>
    </w:p>
    <w:p w14:paraId="4FEB99F8" w14:textId="77777777" w:rsidR="00915BC5" w:rsidRPr="00D06880" w:rsidRDefault="00915BC5" w:rsidP="000D7CF2">
      <w:pPr>
        <w:jc w:val="both"/>
        <w:rPr>
          <w:rFonts w:ascii="Arial" w:hAnsi="Arial" w:cs="Arial"/>
          <w:sz w:val="22"/>
          <w:szCs w:val="22"/>
        </w:rPr>
      </w:pPr>
    </w:p>
    <w:tbl>
      <w:tblPr>
        <w:tblW w:w="9630" w:type="dxa"/>
        <w:tblInd w:w="-18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38"/>
        <w:gridCol w:w="6192"/>
      </w:tblGrid>
      <w:tr w:rsidR="00BB5FA2" w:rsidRPr="00D06880" w14:paraId="43602C66" w14:textId="77777777" w:rsidTr="00915BC5">
        <w:trPr>
          <w:trHeight w:val="270"/>
        </w:trPr>
        <w:tc>
          <w:tcPr>
            <w:tcW w:w="3438" w:type="dxa"/>
            <w:shd w:val="clear" w:color="auto" w:fill="auto"/>
          </w:tcPr>
          <w:p w14:paraId="19B7BD89" w14:textId="1428FF8F" w:rsidR="00BB5FA2" w:rsidRPr="00D06880" w:rsidRDefault="00BB5FA2" w:rsidP="00AD163E">
            <w:pPr>
              <w:rPr>
                <w:rFonts w:ascii="Arial" w:eastAsia="Calibri" w:hAnsi="Arial" w:cs="Arial"/>
                <w:b/>
                <w:bCs/>
                <w:color w:val="6F0000"/>
                <w:sz w:val="22"/>
                <w:szCs w:val="22"/>
              </w:rPr>
            </w:pPr>
            <w:r>
              <w:rPr>
                <w:rFonts w:ascii="Arial" w:eastAsia="Calibri" w:hAnsi="Arial" w:cs="Arial"/>
                <w:b/>
                <w:bCs/>
                <w:color w:val="6F0000"/>
                <w:sz w:val="22"/>
                <w:szCs w:val="22"/>
              </w:rPr>
              <w:t>Policy Number:</w:t>
            </w:r>
          </w:p>
        </w:tc>
        <w:tc>
          <w:tcPr>
            <w:tcW w:w="6192" w:type="dxa"/>
            <w:shd w:val="clear" w:color="auto" w:fill="auto"/>
          </w:tcPr>
          <w:p w14:paraId="38EEFCAC" w14:textId="6D4B91FC" w:rsidR="00BB5FA2" w:rsidRDefault="008512E1" w:rsidP="00AD163E">
            <w:pPr>
              <w:rPr>
                <w:rFonts w:ascii="Arial" w:eastAsia="Calibri" w:hAnsi="Arial" w:cs="Arial"/>
                <w:b/>
                <w:sz w:val="22"/>
                <w:szCs w:val="22"/>
              </w:rPr>
            </w:pPr>
            <w:r>
              <w:rPr>
                <w:rFonts w:ascii="Arial" w:eastAsia="Calibri" w:hAnsi="Arial" w:cs="Arial"/>
                <w:b/>
                <w:sz w:val="22"/>
                <w:szCs w:val="22"/>
              </w:rPr>
              <w:t>2020</w:t>
            </w:r>
            <w:r w:rsidR="00D402A6">
              <w:rPr>
                <w:rFonts w:ascii="Arial" w:eastAsia="Calibri" w:hAnsi="Arial" w:cs="Arial"/>
                <w:b/>
                <w:sz w:val="22"/>
                <w:szCs w:val="22"/>
              </w:rPr>
              <w:t>-4</w:t>
            </w:r>
          </w:p>
        </w:tc>
      </w:tr>
      <w:tr w:rsidR="0078404C" w:rsidRPr="00D06880" w14:paraId="78760811" w14:textId="77777777" w:rsidTr="00915BC5">
        <w:trPr>
          <w:trHeight w:val="270"/>
        </w:trPr>
        <w:tc>
          <w:tcPr>
            <w:tcW w:w="3438" w:type="dxa"/>
            <w:shd w:val="clear" w:color="auto" w:fill="auto"/>
          </w:tcPr>
          <w:p w14:paraId="61155E85" w14:textId="77777777" w:rsidR="00B53512" w:rsidRPr="00D06880" w:rsidRDefault="00B53512" w:rsidP="00AD163E">
            <w:pPr>
              <w:rPr>
                <w:rFonts w:ascii="Arial" w:eastAsia="Calibri" w:hAnsi="Arial" w:cs="Arial"/>
                <w:b/>
                <w:bCs/>
                <w:color w:val="6F0000"/>
                <w:sz w:val="22"/>
                <w:szCs w:val="22"/>
              </w:rPr>
            </w:pPr>
            <w:r w:rsidRPr="00D06880">
              <w:rPr>
                <w:rFonts w:ascii="Arial" w:eastAsia="Calibri" w:hAnsi="Arial" w:cs="Arial"/>
                <w:b/>
                <w:bCs/>
                <w:color w:val="6F0000"/>
                <w:sz w:val="22"/>
                <w:szCs w:val="22"/>
              </w:rPr>
              <w:t>Subject of Policy:</w:t>
            </w:r>
          </w:p>
        </w:tc>
        <w:tc>
          <w:tcPr>
            <w:tcW w:w="6192" w:type="dxa"/>
            <w:shd w:val="clear" w:color="auto" w:fill="auto"/>
          </w:tcPr>
          <w:p w14:paraId="0BD7FF9E" w14:textId="1ED698DB" w:rsidR="00B53512" w:rsidRPr="00D06880" w:rsidRDefault="008512E1" w:rsidP="00AD163E">
            <w:pPr>
              <w:rPr>
                <w:rFonts w:ascii="Arial" w:eastAsia="Calibri" w:hAnsi="Arial" w:cs="Arial"/>
                <w:b/>
                <w:sz w:val="22"/>
                <w:szCs w:val="22"/>
              </w:rPr>
            </w:pPr>
            <w:r>
              <w:rPr>
                <w:rFonts w:ascii="Arial" w:eastAsia="Calibri" w:hAnsi="Arial" w:cs="Arial"/>
                <w:b/>
                <w:sz w:val="22"/>
                <w:szCs w:val="22"/>
              </w:rPr>
              <w:t>14 Element Youth Policy</w:t>
            </w:r>
          </w:p>
        </w:tc>
      </w:tr>
      <w:tr w:rsidR="00915BC5" w:rsidRPr="00D06880" w14:paraId="03B1FECE" w14:textId="77777777" w:rsidTr="00915BC5">
        <w:trPr>
          <w:trHeight w:val="270"/>
        </w:trPr>
        <w:tc>
          <w:tcPr>
            <w:tcW w:w="3438" w:type="dxa"/>
            <w:shd w:val="clear" w:color="auto" w:fill="auto"/>
          </w:tcPr>
          <w:p w14:paraId="2DDF0ECA" w14:textId="7E8DF202" w:rsidR="00915BC5" w:rsidRPr="00D06880" w:rsidRDefault="00BF37F2" w:rsidP="00AD163E">
            <w:pPr>
              <w:rPr>
                <w:rFonts w:ascii="Arial" w:eastAsia="Calibri" w:hAnsi="Arial" w:cs="Arial"/>
                <w:b/>
                <w:bCs/>
                <w:color w:val="6F0000"/>
                <w:sz w:val="22"/>
                <w:szCs w:val="22"/>
              </w:rPr>
            </w:pPr>
            <w:r>
              <w:rPr>
                <w:rFonts w:ascii="Arial" w:eastAsia="Calibri" w:hAnsi="Arial" w:cs="Arial"/>
                <w:b/>
                <w:bCs/>
                <w:color w:val="6F0000"/>
                <w:sz w:val="22"/>
                <w:szCs w:val="22"/>
              </w:rPr>
              <w:t>WIOA Citation:</w:t>
            </w:r>
          </w:p>
        </w:tc>
        <w:tc>
          <w:tcPr>
            <w:tcW w:w="6192" w:type="dxa"/>
            <w:shd w:val="clear" w:color="auto" w:fill="auto"/>
          </w:tcPr>
          <w:p w14:paraId="4DDCC900" w14:textId="77777777" w:rsidR="00915BC5" w:rsidRDefault="00D402A6" w:rsidP="00AD163E">
            <w:pPr>
              <w:rPr>
                <w:rFonts w:ascii="Arial" w:eastAsia="Calibri" w:hAnsi="Arial" w:cs="Arial"/>
                <w:b/>
                <w:sz w:val="22"/>
                <w:szCs w:val="22"/>
              </w:rPr>
            </w:pPr>
            <w:r w:rsidRPr="00D402A6">
              <w:rPr>
                <w:rFonts w:ascii="Arial" w:eastAsia="Calibri" w:hAnsi="Arial" w:cs="Arial"/>
                <w:b/>
                <w:sz w:val="22"/>
                <w:szCs w:val="22"/>
              </w:rPr>
              <w:t xml:space="preserve">WIOA section 129 </w:t>
            </w:r>
            <w:r>
              <w:rPr>
                <w:rFonts w:ascii="Arial" w:eastAsia="Calibri" w:hAnsi="Arial" w:cs="Arial"/>
                <w:b/>
                <w:sz w:val="22"/>
                <w:szCs w:val="22"/>
              </w:rPr>
              <w:t>(</w:t>
            </w:r>
            <w:r w:rsidR="00260DF4">
              <w:rPr>
                <w:rFonts w:ascii="Arial" w:eastAsia="Calibri" w:hAnsi="Arial" w:cs="Arial"/>
                <w:b/>
                <w:sz w:val="22"/>
                <w:szCs w:val="22"/>
              </w:rPr>
              <w:t>a)</w:t>
            </w:r>
          </w:p>
          <w:p w14:paraId="61473465" w14:textId="41D9F594" w:rsidR="00260DF4" w:rsidRPr="00D06880" w:rsidRDefault="00260DF4" w:rsidP="00AD163E">
            <w:pPr>
              <w:rPr>
                <w:rFonts w:ascii="Arial" w:eastAsia="Calibri" w:hAnsi="Arial" w:cs="Arial"/>
                <w:b/>
                <w:sz w:val="22"/>
                <w:szCs w:val="22"/>
              </w:rPr>
            </w:pPr>
            <w:r>
              <w:rPr>
                <w:rFonts w:ascii="Arial" w:eastAsia="Calibri" w:hAnsi="Arial" w:cs="Arial"/>
                <w:b/>
                <w:sz w:val="22"/>
                <w:szCs w:val="22"/>
              </w:rPr>
              <w:t>WIOA section 129(c)</w:t>
            </w:r>
          </w:p>
        </w:tc>
      </w:tr>
      <w:tr w:rsidR="00714E9A" w:rsidRPr="00D06880" w14:paraId="55F404C9" w14:textId="77777777" w:rsidTr="00915BC5">
        <w:trPr>
          <w:trHeight w:val="270"/>
        </w:trPr>
        <w:tc>
          <w:tcPr>
            <w:tcW w:w="3438" w:type="dxa"/>
            <w:shd w:val="clear" w:color="auto" w:fill="auto"/>
          </w:tcPr>
          <w:p w14:paraId="6FDBFEE9" w14:textId="48965274" w:rsidR="00714E9A" w:rsidRDefault="00AB0F6B" w:rsidP="00BF37F2">
            <w:pPr>
              <w:rPr>
                <w:rFonts w:ascii="Arial" w:eastAsia="Calibri" w:hAnsi="Arial" w:cs="Arial"/>
                <w:b/>
                <w:bCs/>
                <w:color w:val="6F0000"/>
                <w:sz w:val="22"/>
                <w:szCs w:val="22"/>
              </w:rPr>
            </w:pPr>
            <w:r w:rsidRPr="00AB0F6B">
              <w:rPr>
                <w:rFonts w:ascii="Arial" w:eastAsia="Calibri" w:hAnsi="Arial" w:cs="Arial"/>
                <w:b/>
                <w:bCs/>
                <w:color w:val="6F0000"/>
                <w:sz w:val="22"/>
                <w:szCs w:val="22"/>
              </w:rPr>
              <w:t>Prior Policy:</w:t>
            </w:r>
          </w:p>
        </w:tc>
        <w:tc>
          <w:tcPr>
            <w:tcW w:w="6192" w:type="dxa"/>
            <w:shd w:val="clear" w:color="auto" w:fill="auto"/>
          </w:tcPr>
          <w:p w14:paraId="65CF1F63" w14:textId="28AE0475" w:rsidR="00714E9A" w:rsidRPr="00D06880" w:rsidRDefault="008512E1" w:rsidP="00BF37F2">
            <w:pP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None</w:t>
            </w:r>
          </w:p>
        </w:tc>
      </w:tr>
      <w:tr w:rsidR="00714E9A" w:rsidRPr="00D06880" w14:paraId="12EFDF45" w14:textId="77777777" w:rsidTr="00915BC5">
        <w:trPr>
          <w:trHeight w:val="270"/>
        </w:trPr>
        <w:tc>
          <w:tcPr>
            <w:tcW w:w="3438" w:type="dxa"/>
            <w:shd w:val="clear" w:color="auto" w:fill="auto"/>
          </w:tcPr>
          <w:p w14:paraId="76DC14F5" w14:textId="2D62F679" w:rsidR="00714E9A" w:rsidRDefault="00AB0F6B" w:rsidP="00BF37F2">
            <w:pPr>
              <w:rPr>
                <w:rFonts w:ascii="Arial" w:eastAsia="Calibri" w:hAnsi="Arial" w:cs="Arial"/>
                <w:b/>
                <w:bCs/>
                <w:color w:val="6F0000"/>
                <w:sz w:val="22"/>
                <w:szCs w:val="22"/>
              </w:rPr>
            </w:pPr>
            <w:r w:rsidRPr="00AB0F6B">
              <w:rPr>
                <w:rFonts w:ascii="Arial" w:eastAsia="Calibri" w:hAnsi="Arial" w:cs="Arial"/>
                <w:b/>
                <w:bCs/>
                <w:color w:val="6F0000"/>
                <w:sz w:val="22"/>
                <w:szCs w:val="22"/>
              </w:rPr>
              <w:t>Prior Policy Action:</w:t>
            </w:r>
          </w:p>
        </w:tc>
        <w:tc>
          <w:tcPr>
            <w:tcW w:w="6192" w:type="dxa"/>
            <w:shd w:val="clear" w:color="auto" w:fill="auto"/>
          </w:tcPr>
          <w:p w14:paraId="741CE0FA" w14:textId="6DCB88A5" w:rsidR="00714E9A" w:rsidRPr="00D06880" w:rsidRDefault="008512E1" w:rsidP="00BF37F2">
            <w:pP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None</w:t>
            </w:r>
          </w:p>
        </w:tc>
      </w:tr>
      <w:tr w:rsidR="00BF37F2" w:rsidRPr="00D06880" w14:paraId="40E15B0E" w14:textId="77777777" w:rsidTr="00D12875">
        <w:trPr>
          <w:trHeight w:val="287"/>
        </w:trPr>
        <w:tc>
          <w:tcPr>
            <w:tcW w:w="3438" w:type="dxa"/>
            <w:shd w:val="clear" w:color="auto" w:fill="auto"/>
          </w:tcPr>
          <w:p w14:paraId="2B76C1B8" w14:textId="07A124AB" w:rsidR="00BF37F2" w:rsidRDefault="00BF37F2" w:rsidP="00BF37F2">
            <w:pPr>
              <w:rPr>
                <w:rFonts w:ascii="Arial" w:eastAsia="Calibri" w:hAnsi="Arial" w:cs="Arial"/>
                <w:b/>
                <w:bCs/>
                <w:color w:val="6F0000"/>
                <w:sz w:val="22"/>
                <w:szCs w:val="22"/>
              </w:rPr>
            </w:pPr>
            <w:r>
              <w:rPr>
                <w:rFonts w:ascii="Arial" w:eastAsia="Calibri" w:hAnsi="Arial" w:cs="Arial"/>
                <w:b/>
                <w:bCs/>
                <w:color w:val="6F0000"/>
                <w:sz w:val="22"/>
                <w:szCs w:val="22"/>
              </w:rPr>
              <w:t xml:space="preserve">Effective </w:t>
            </w:r>
            <w:r w:rsidRPr="00D06880">
              <w:rPr>
                <w:rFonts w:ascii="Arial" w:eastAsia="Calibri" w:hAnsi="Arial" w:cs="Arial"/>
                <w:b/>
                <w:bCs/>
                <w:color w:val="6F0000"/>
                <w:sz w:val="22"/>
                <w:szCs w:val="22"/>
              </w:rPr>
              <w:t xml:space="preserve">Date: </w:t>
            </w:r>
          </w:p>
        </w:tc>
        <w:tc>
          <w:tcPr>
            <w:tcW w:w="6192" w:type="dxa"/>
            <w:shd w:val="clear" w:color="auto" w:fill="auto"/>
          </w:tcPr>
          <w:p w14:paraId="05F270E3" w14:textId="2901EB15" w:rsidR="00BF37F2" w:rsidRPr="00D06880" w:rsidRDefault="008512E1" w:rsidP="00BF37F2">
            <w:pPr>
              <w:rPr>
                <w:rFonts w:ascii="Arial" w:eastAsia="Calibri" w:hAnsi="Arial" w:cs="Arial"/>
                <w:b/>
                <w:bCs/>
                <w:color w:val="000000" w:themeColor="text1"/>
                <w:sz w:val="22"/>
                <w:szCs w:val="22"/>
              </w:rPr>
            </w:pPr>
            <w:r>
              <w:rPr>
                <w:rFonts w:ascii="Arial" w:eastAsia="Calibri" w:hAnsi="Arial" w:cs="Arial"/>
                <w:b/>
                <w:bCs/>
                <w:color w:val="000000" w:themeColor="text1"/>
                <w:sz w:val="22"/>
                <w:szCs w:val="22"/>
              </w:rPr>
              <w:t>December 16, 2020</w:t>
            </w:r>
          </w:p>
        </w:tc>
      </w:tr>
    </w:tbl>
    <w:p w14:paraId="2A357724" w14:textId="77777777" w:rsidR="008C1E6B" w:rsidRPr="00D06880" w:rsidRDefault="008C1E6B" w:rsidP="000D7CF2">
      <w:pPr>
        <w:jc w:val="both"/>
        <w:rPr>
          <w:rFonts w:ascii="Arial" w:hAnsi="Arial" w:cs="Arial"/>
          <w:sz w:val="22"/>
          <w:szCs w:val="22"/>
        </w:rPr>
      </w:pPr>
    </w:p>
    <w:p w14:paraId="64B590E9" w14:textId="77777777" w:rsidR="00C545DC" w:rsidRDefault="00C545DC" w:rsidP="00A51C58">
      <w:pPr>
        <w:jc w:val="both"/>
        <w:rPr>
          <w:rFonts w:ascii="Arial" w:hAnsi="Arial" w:cs="Arial"/>
          <w:b/>
          <w:bCs/>
          <w:color w:val="000000" w:themeColor="text1"/>
          <w:sz w:val="22"/>
          <w:szCs w:val="22"/>
        </w:rPr>
      </w:pPr>
    </w:p>
    <w:p w14:paraId="3BFBD313" w14:textId="618F51DB" w:rsidR="007A1F22" w:rsidRPr="00A43079" w:rsidRDefault="008512E1" w:rsidP="00A43079">
      <w:pPr>
        <w:spacing w:before="100" w:beforeAutospacing="1" w:after="100" w:afterAutospacing="1"/>
        <w:rPr>
          <w:color w:val="000000" w:themeColor="text1"/>
        </w:rPr>
      </w:pPr>
      <w:r w:rsidRPr="00A43079">
        <w:rPr>
          <w:rFonts w:ascii="Avenir Next LT Pro" w:hAnsi="Avenir Next LT Pro" w:cs="Arial"/>
          <w:b/>
          <w:bCs/>
        </w:rPr>
        <w:t>Purpose</w:t>
      </w:r>
      <w:r w:rsidRPr="00A43079">
        <w:rPr>
          <w:color w:val="000000" w:themeColor="text1"/>
        </w:rPr>
        <w:t xml:space="preserve"> </w:t>
      </w:r>
    </w:p>
    <w:p w14:paraId="0520D15C" w14:textId="0888C4B0" w:rsidR="008512E1" w:rsidRPr="00FA71F0" w:rsidRDefault="008512E1" w:rsidP="00260DF4">
      <w:pPr>
        <w:pStyle w:val="BodyText"/>
        <w:rPr>
          <w:rFonts w:ascii="Avenir Next LT Pro" w:hAnsi="Avenir Next LT Pro"/>
          <w:color w:val="auto"/>
        </w:rPr>
      </w:pPr>
      <w:r w:rsidRPr="00FA71F0">
        <w:rPr>
          <w:rFonts w:ascii="Avenir Next LT Pro" w:hAnsi="Avenir Next LT Pro"/>
          <w:color w:val="auto"/>
        </w:rPr>
        <w:t xml:space="preserve">To ensure effective </w:t>
      </w:r>
      <w:r w:rsidR="003A727B" w:rsidRPr="00FA71F0">
        <w:rPr>
          <w:rFonts w:ascii="Avenir Next LT Pro" w:hAnsi="Avenir Next LT Pro"/>
          <w:color w:val="auto"/>
        </w:rPr>
        <w:t xml:space="preserve">and </w:t>
      </w:r>
      <w:r w:rsidR="00D402A6" w:rsidRPr="00FA71F0">
        <w:rPr>
          <w:rFonts w:ascii="Avenir Next LT Pro" w:hAnsi="Avenir Next LT Pro"/>
          <w:color w:val="auto"/>
        </w:rPr>
        <w:t>comprehensive</w:t>
      </w:r>
      <w:r w:rsidR="003A727B" w:rsidRPr="00FA71F0">
        <w:rPr>
          <w:rFonts w:ascii="Avenir Next LT Pro" w:hAnsi="Avenir Next LT Pro"/>
          <w:color w:val="auto"/>
        </w:rPr>
        <w:t xml:space="preserve"> </w:t>
      </w:r>
      <w:r w:rsidRPr="00FA71F0">
        <w:rPr>
          <w:rFonts w:ascii="Avenir Next LT Pro" w:hAnsi="Avenir Next LT Pro"/>
          <w:color w:val="auto"/>
        </w:rPr>
        <w:t xml:space="preserve">programming of WIOA youth services within the Central Western Maine Workforce Development Board (CWMWDB) region.  </w:t>
      </w:r>
    </w:p>
    <w:p w14:paraId="64442DC1" w14:textId="269C3608" w:rsidR="008512E1" w:rsidRDefault="008512E1" w:rsidP="00D402A6">
      <w:pPr>
        <w:pStyle w:val="BodyText"/>
        <w:rPr>
          <w:color w:val="000000" w:themeColor="text1"/>
        </w:rPr>
      </w:pPr>
    </w:p>
    <w:p w14:paraId="7A6221FE" w14:textId="21BF0EE7" w:rsidR="001E0F15" w:rsidRPr="00A43079" w:rsidRDefault="001E0F15" w:rsidP="00A43079">
      <w:pPr>
        <w:spacing w:before="100" w:beforeAutospacing="1" w:after="100" w:afterAutospacing="1"/>
        <w:rPr>
          <w:rFonts w:ascii="Avenir Next LT Pro" w:hAnsi="Avenir Next LT Pro" w:cs="Arial"/>
          <w:b/>
          <w:bCs/>
        </w:rPr>
      </w:pPr>
      <w:r w:rsidRPr="00A43079">
        <w:rPr>
          <w:rFonts w:ascii="Avenir Next LT Pro" w:hAnsi="Avenir Next LT Pro" w:cs="Arial"/>
          <w:b/>
          <w:bCs/>
        </w:rPr>
        <w:t xml:space="preserve">Background </w:t>
      </w:r>
    </w:p>
    <w:p w14:paraId="39AB70AF" w14:textId="6DCC7A17" w:rsidR="001E0F15" w:rsidRPr="00FA71F0" w:rsidRDefault="001E0F15" w:rsidP="001E0F15">
      <w:pPr>
        <w:pStyle w:val="BodyText"/>
        <w:rPr>
          <w:rFonts w:ascii="Avenir Next LT Pro" w:hAnsi="Avenir Next LT Pro"/>
          <w:color w:val="auto"/>
        </w:rPr>
      </w:pPr>
      <w:r w:rsidRPr="00FA71F0">
        <w:rPr>
          <w:rFonts w:ascii="Avenir Next LT Pro" w:hAnsi="Avenir Next LT Pro"/>
          <w:color w:val="auto"/>
        </w:rPr>
        <w:t xml:space="preserve">The youth objectives set forth by WIOA reflect a path of self-sufficiency through academic or training engagement and or employment attainment and ongoing participation.  </w:t>
      </w:r>
      <w:r w:rsidR="006B7851" w:rsidRPr="00FA71F0">
        <w:rPr>
          <w:rFonts w:ascii="Avenir Next LT Pro" w:hAnsi="Avenir Next LT Pro"/>
          <w:color w:val="auto"/>
        </w:rPr>
        <w:t>Goal attainment is possible through the provision of services, including those designated under WIOA</w:t>
      </w:r>
      <w:r w:rsidR="005F516D" w:rsidRPr="00FA71F0">
        <w:rPr>
          <w:rFonts w:ascii="Avenir Next LT Pro" w:hAnsi="Avenir Next LT Pro"/>
          <w:color w:val="auto"/>
        </w:rPr>
        <w:t xml:space="preserve"> and CWMWDB</w:t>
      </w:r>
      <w:r w:rsidR="006B7851" w:rsidRPr="00FA71F0">
        <w:rPr>
          <w:rFonts w:ascii="Avenir Next LT Pro" w:hAnsi="Avenir Next LT Pro"/>
          <w:color w:val="auto"/>
        </w:rPr>
        <w:t>.</w:t>
      </w:r>
      <w:r w:rsidR="005F516D" w:rsidRPr="00FA71F0">
        <w:rPr>
          <w:rFonts w:ascii="Avenir Next LT Pro" w:hAnsi="Avenir Next LT Pro"/>
          <w:color w:val="auto"/>
        </w:rPr>
        <w:t xml:space="preserve">  </w:t>
      </w:r>
      <w:r w:rsidR="0061549F" w:rsidRPr="00FA71F0">
        <w:rPr>
          <w:rFonts w:ascii="Avenir Next LT Pro" w:hAnsi="Avenir Next LT Pro"/>
          <w:color w:val="auto"/>
        </w:rPr>
        <w:t xml:space="preserve">The </w:t>
      </w:r>
      <w:r w:rsidR="005F516D" w:rsidRPr="00FA71F0">
        <w:rPr>
          <w:rFonts w:ascii="Avenir Next LT Pro" w:hAnsi="Avenir Next LT Pro"/>
          <w:color w:val="auto"/>
        </w:rPr>
        <w:t xml:space="preserve">CWMWDB region has </w:t>
      </w:r>
      <w:r w:rsidR="002F326D" w:rsidRPr="00FA71F0">
        <w:rPr>
          <w:rFonts w:ascii="Avenir Next LT Pro" w:hAnsi="Avenir Next LT Pro"/>
          <w:color w:val="auto"/>
        </w:rPr>
        <w:t>particular youth</w:t>
      </w:r>
      <w:r w:rsidR="005F516D" w:rsidRPr="00FA71F0">
        <w:rPr>
          <w:rFonts w:ascii="Avenir Next LT Pro" w:hAnsi="Avenir Next LT Pro"/>
          <w:color w:val="auto"/>
        </w:rPr>
        <w:t xml:space="preserve"> service needs and as such has </w:t>
      </w:r>
      <w:r w:rsidR="0061549F" w:rsidRPr="00FA71F0">
        <w:rPr>
          <w:rFonts w:ascii="Avenir Next LT Pro" w:hAnsi="Avenir Next LT Pro"/>
          <w:color w:val="auto"/>
        </w:rPr>
        <w:t>tailored</w:t>
      </w:r>
      <w:r w:rsidR="005F516D" w:rsidRPr="00FA71F0">
        <w:rPr>
          <w:rFonts w:ascii="Avenir Next LT Pro" w:hAnsi="Avenir Next LT Pro"/>
          <w:color w:val="auto"/>
        </w:rPr>
        <w:t xml:space="preserve"> program elements herein.   </w:t>
      </w:r>
      <w:r w:rsidR="006B7851" w:rsidRPr="00FA71F0">
        <w:rPr>
          <w:rFonts w:ascii="Avenir Next LT Pro" w:hAnsi="Avenir Next LT Pro"/>
          <w:color w:val="auto"/>
        </w:rPr>
        <w:t xml:space="preserve">  </w:t>
      </w:r>
      <w:r w:rsidRPr="00FA71F0">
        <w:rPr>
          <w:rFonts w:ascii="Avenir Next LT Pro" w:hAnsi="Avenir Next LT Pro"/>
          <w:color w:val="auto"/>
        </w:rPr>
        <w:t xml:space="preserve">      </w:t>
      </w:r>
    </w:p>
    <w:p w14:paraId="10348CDB" w14:textId="77777777" w:rsidR="001E0F15" w:rsidRPr="001E0F15" w:rsidRDefault="001E0F15" w:rsidP="001E0F15">
      <w:pPr>
        <w:pStyle w:val="BodyText"/>
        <w:rPr>
          <w:color w:val="000000" w:themeColor="text1"/>
        </w:rPr>
      </w:pPr>
    </w:p>
    <w:p w14:paraId="63D0E221" w14:textId="54090DC5" w:rsidR="008512E1" w:rsidRPr="00A43079" w:rsidRDefault="008512E1" w:rsidP="00A43079">
      <w:pPr>
        <w:spacing w:before="100" w:beforeAutospacing="1" w:after="100" w:afterAutospacing="1"/>
        <w:rPr>
          <w:rFonts w:ascii="Avenir Next LT Pro" w:hAnsi="Avenir Next LT Pro" w:cs="Arial"/>
          <w:b/>
          <w:bCs/>
        </w:rPr>
      </w:pPr>
      <w:r w:rsidRPr="00A43079">
        <w:rPr>
          <w:rFonts w:ascii="Avenir Next LT Pro" w:hAnsi="Avenir Next LT Pro" w:cs="Arial"/>
          <w:b/>
          <w:bCs/>
        </w:rPr>
        <w:t xml:space="preserve">Definition </w:t>
      </w:r>
    </w:p>
    <w:p w14:paraId="7D40A3FD" w14:textId="4F414CF7" w:rsidR="00260DF4" w:rsidRPr="00FA71F0" w:rsidRDefault="00C2706D" w:rsidP="00260DF4">
      <w:pPr>
        <w:pStyle w:val="BodyText"/>
        <w:rPr>
          <w:rFonts w:ascii="Avenir Next LT Pro" w:hAnsi="Avenir Next LT Pro"/>
          <w:color w:val="auto"/>
        </w:rPr>
      </w:pPr>
      <w:r w:rsidRPr="00FA71F0">
        <w:rPr>
          <w:rFonts w:ascii="Avenir Next LT Pro" w:hAnsi="Avenir Next LT Pro"/>
          <w:color w:val="auto"/>
        </w:rPr>
        <w:t>WIOA section 129(a)(1) defines e</w:t>
      </w:r>
      <w:r w:rsidR="008512E1" w:rsidRPr="00FA71F0">
        <w:rPr>
          <w:rFonts w:ascii="Avenir Next LT Pro" w:hAnsi="Avenir Next LT Pro"/>
          <w:color w:val="auto"/>
        </w:rPr>
        <w:t>ligible youth</w:t>
      </w:r>
      <w:r w:rsidRPr="00FA71F0">
        <w:rPr>
          <w:rFonts w:ascii="Avenir Next LT Pro" w:hAnsi="Avenir Next LT Pro"/>
          <w:color w:val="auto"/>
        </w:rPr>
        <w:t xml:space="preserve">. </w:t>
      </w:r>
    </w:p>
    <w:p w14:paraId="3632A06D" w14:textId="77777777" w:rsidR="00260DF4" w:rsidRPr="00FA71F0" w:rsidRDefault="00260DF4" w:rsidP="00260DF4">
      <w:pPr>
        <w:pStyle w:val="BodyText"/>
        <w:rPr>
          <w:rFonts w:ascii="Avenir Next LT Pro" w:hAnsi="Avenir Next LT Pro"/>
          <w:color w:val="auto"/>
        </w:rPr>
      </w:pPr>
    </w:p>
    <w:p w14:paraId="2A91EFC8" w14:textId="0243FB07" w:rsidR="00C2706D" w:rsidRPr="00FA71F0" w:rsidRDefault="00072D71" w:rsidP="00260DF4">
      <w:pPr>
        <w:pStyle w:val="BodyText"/>
        <w:rPr>
          <w:rFonts w:ascii="Avenir Next LT Pro" w:hAnsi="Avenir Next LT Pro"/>
          <w:color w:val="auto"/>
        </w:rPr>
      </w:pPr>
      <w:r w:rsidRPr="00FA71F0">
        <w:rPr>
          <w:rFonts w:ascii="Avenir Next LT Pro" w:hAnsi="Avenir Next LT Pro"/>
          <w:color w:val="auto"/>
        </w:rPr>
        <w:t xml:space="preserve">WIOA </w:t>
      </w:r>
      <w:r w:rsidR="00A75061" w:rsidRPr="00FA71F0">
        <w:rPr>
          <w:rFonts w:ascii="Avenir Next LT Pro" w:hAnsi="Avenir Next LT Pro"/>
          <w:color w:val="auto"/>
        </w:rPr>
        <w:t xml:space="preserve">section </w:t>
      </w:r>
      <w:r w:rsidR="00260DF4" w:rsidRPr="00FA71F0">
        <w:rPr>
          <w:rFonts w:ascii="Avenir Next LT Pro" w:hAnsi="Avenir Next LT Pro"/>
          <w:color w:val="auto"/>
        </w:rPr>
        <w:t>129(c)(</w:t>
      </w:r>
      <w:r w:rsidR="006B7851" w:rsidRPr="00FA71F0">
        <w:rPr>
          <w:rFonts w:ascii="Avenir Next LT Pro" w:hAnsi="Avenir Next LT Pro"/>
          <w:color w:val="auto"/>
        </w:rPr>
        <w:t>2</w:t>
      </w:r>
      <w:r w:rsidR="00260DF4" w:rsidRPr="00FA71F0">
        <w:rPr>
          <w:rFonts w:ascii="Avenir Next LT Pro" w:hAnsi="Avenir Next LT Pro"/>
          <w:color w:val="auto"/>
        </w:rPr>
        <w:t>) defines 14</w:t>
      </w:r>
      <w:r w:rsidR="00C2706D" w:rsidRPr="00FA71F0">
        <w:rPr>
          <w:rFonts w:ascii="Avenir Next LT Pro" w:hAnsi="Avenir Next LT Pro"/>
          <w:color w:val="auto"/>
        </w:rPr>
        <w:t xml:space="preserve"> program elements</w:t>
      </w:r>
      <w:r w:rsidR="00260DF4" w:rsidRPr="00FA71F0">
        <w:rPr>
          <w:rFonts w:ascii="Avenir Next LT Pro" w:hAnsi="Avenir Next LT Pro"/>
          <w:color w:val="auto"/>
        </w:rPr>
        <w:t xml:space="preserve"> as follows:</w:t>
      </w:r>
      <w:r w:rsidR="00C2706D" w:rsidRPr="00FA71F0">
        <w:rPr>
          <w:rFonts w:ascii="Avenir Next LT Pro" w:hAnsi="Avenir Next LT Pro"/>
          <w:color w:val="auto"/>
        </w:rPr>
        <w:t xml:space="preserve"> </w:t>
      </w:r>
    </w:p>
    <w:p w14:paraId="4BB19B0C" w14:textId="77777777" w:rsidR="00C2706D" w:rsidRDefault="00C2706D" w:rsidP="008512E1">
      <w:pPr>
        <w:pStyle w:val="BodyText"/>
        <w:ind w:left="360"/>
        <w:rPr>
          <w:rFonts w:ascii="Avenir Book" w:eastAsia="Calibri" w:hAnsi="Avenir Book" w:cs="Arial"/>
          <w:bCs/>
          <w:color w:val="auto"/>
        </w:rPr>
      </w:pPr>
    </w:p>
    <w:p w14:paraId="77E345BB" w14:textId="77777777" w:rsidR="00775C72" w:rsidRDefault="00775C72" w:rsidP="00775C72">
      <w:pPr>
        <w:pStyle w:val="BodyText"/>
        <w:ind w:left="360"/>
        <w:jc w:val="both"/>
        <w:rPr>
          <w:rFonts w:ascii="Avenir Next LT Pro" w:hAnsi="Avenir Next LT Pro"/>
          <w:color w:val="auto"/>
        </w:rPr>
      </w:pPr>
      <w:r>
        <w:rPr>
          <w:rFonts w:ascii="Avenir Next LT Pro" w:hAnsi="Avenir Next LT Pro"/>
          <w:color w:val="auto"/>
        </w:rPr>
        <w:t>Element 1</w:t>
      </w:r>
    </w:p>
    <w:p w14:paraId="20FA6349" w14:textId="240061F9" w:rsidR="00145589" w:rsidRDefault="00E541F4" w:rsidP="00775C72">
      <w:pPr>
        <w:pStyle w:val="BodyText"/>
        <w:ind w:left="360"/>
        <w:jc w:val="both"/>
        <w:rPr>
          <w:rFonts w:ascii="Avenir Next LT Pro" w:hAnsi="Avenir Next LT Pro"/>
          <w:color w:val="auto"/>
        </w:rPr>
      </w:pPr>
      <w:r w:rsidRPr="006A7A61">
        <w:rPr>
          <w:rFonts w:ascii="Avenir Next LT Pro" w:hAnsi="Avenir Next LT Pro"/>
          <w:b/>
          <w:bCs/>
          <w:color w:val="auto"/>
        </w:rPr>
        <w:t xml:space="preserve">Tutoring, study skills training, instruction, and evidence-based dropout prevention </w:t>
      </w:r>
      <w:r w:rsidRPr="00FA71F0">
        <w:rPr>
          <w:rFonts w:ascii="Avenir Next LT Pro" w:hAnsi="Avenir Next LT Pro"/>
          <w:color w:val="auto"/>
        </w:rPr>
        <w:t>and recovery strategies that lead to completion of the requirements for a secondary school diploma or its recognized equivalent (including a recognized certificate of atten</w:t>
      </w:r>
      <w:r w:rsidR="00145589" w:rsidRPr="00FA71F0">
        <w:rPr>
          <w:rFonts w:ascii="Avenir Next LT Pro" w:hAnsi="Avenir Next LT Pro"/>
          <w:color w:val="auto"/>
        </w:rPr>
        <w:t xml:space="preserve">dance or similar document for individuals with disabilities) or for a recognized postsecondary credential; </w:t>
      </w:r>
    </w:p>
    <w:p w14:paraId="1419D145" w14:textId="77777777" w:rsidR="0090080A" w:rsidRDefault="0090080A" w:rsidP="00775C72">
      <w:pPr>
        <w:pStyle w:val="BodyText"/>
        <w:ind w:left="360"/>
        <w:jc w:val="both"/>
        <w:rPr>
          <w:rFonts w:ascii="Avenir Next LT Pro" w:hAnsi="Avenir Next LT Pro"/>
          <w:color w:val="auto"/>
        </w:rPr>
      </w:pPr>
    </w:p>
    <w:p w14:paraId="3DBB6234" w14:textId="5DA61D2A" w:rsidR="00775C72" w:rsidRDefault="0090080A" w:rsidP="00775C72">
      <w:pPr>
        <w:pStyle w:val="BodyText"/>
        <w:ind w:left="360"/>
        <w:jc w:val="both"/>
        <w:rPr>
          <w:rFonts w:ascii="Avenir Next LT Pro" w:hAnsi="Avenir Next LT Pro"/>
          <w:color w:val="auto"/>
        </w:rPr>
      </w:pPr>
      <w:r w:rsidRPr="003F03DC">
        <w:rPr>
          <w:rFonts w:ascii="Avenir Next LT Pro" w:hAnsi="Avenir Next LT Pro"/>
          <w:b/>
          <w:bCs/>
          <w:color w:val="auto"/>
        </w:rPr>
        <w:t>CWM Element 1</w:t>
      </w:r>
      <w:r w:rsidR="003F03DC">
        <w:rPr>
          <w:rFonts w:ascii="Avenir Next LT Pro" w:hAnsi="Avenir Next LT Pro"/>
          <w:b/>
          <w:bCs/>
          <w:color w:val="auto"/>
        </w:rPr>
        <w:t xml:space="preserve"> </w:t>
      </w:r>
      <w:r>
        <w:rPr>
          <w:rFonts w:ascii="Avenir Next LT Pro" w:hAnsi="Avenir Next LT Pro"/>
          <w:color w:val="auto"/>
        </w:rPr>
        <w:t>providers include, but are not limited to,</w:t>
      </w:r>
    </w:p>
    <w:p w14:paraId="682FE637" w14:textId="77777777" w:rsidR="0090080A" w:rsidRPr="00FA71F0" w:rsidRDefault="0090080A" w:rsidP="00775C72">
      <w:pPr>
        <w:pStyle w:val="BodyText"/>
        <w:ind w:left="360"/>
        <w:jc w:val="both"/>
        <w:rPr>
          <w:rFonts w:ascii="Avenir Next LT Pro" w:hAnsi="Avenir Next LT Pro"/>
          <w:color w:val="auto"/>
        </w:rPr>
      </w:pPr>
    </w:p>
    <w:p w14:paraId="4508A825" w14:textId="58B32913" w:rsidR="00145589" w:rsidRDefault="00E541F4" w:rsidP="00775C72">
      <w:pPr>
        <w:pStyle w:val="BodyText"/>
        <w:ind w:left="360"/>
        <w:jc w:val="both"/>
        <w:rPr>
          <w:rFonts w:ascii="Avenir Next LT Pro" w:hAnsi="Avenir Next LT Pro"/>
          <w:color w:val="auto"/>
        </w:rPr>
      </w:pPr>
      <w:r w:rsidRPr="00FA71F0">
        <w:rPr>
          <w:rFonts w:ascii="Avenir Next LT Pro" w:hAnsi="Avenir Next LT Pro"/>
          <w:color w:val="auto"/>
        </w:rPr>
        <w:t>Alternative secondary school services, or dropout recovery services, as appropriate;</w:t>
      </w:r>
    </w:p>
    <w:p w14:paraId="6C3BA2FA" w14:textId="77777777" w:rsidR="00775C72" w:rsidRPr="00FA71F0" w:rsidRDefault="00775C72" w:rsidP="00775C72">
      <w:pPr>
        <w:pStyle w:val="BodyText"/>
        <w:ind w:left="360"/>
        <w:jc w:val="both"/>
        <w:rPr>
          <w:rFonts w:ascii="Avenir Next LT Pro" w:hAnsi="Avenir Next LT Pro"/>
          <w:color w:val="auto"/>
        </w:rPr>
      </w:pPr>
    </w:p>
    <w:p w14:paraId="78416FA9" w14:textId="523D0997" w:rsidR="00145589"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lastRenderedPageBreak/>
        <w:t>Paid and unpaid work experiences that have as a component acade</w:t>
      </w:r>
      <w:r w:rsidR="00145589" w:rsidRPr="00FA71F0">
        <w:rPr>
          <w:rFonts w:ascii="Avenir Next LT Pro" w:hAnsi="Avenir Next LT Pro"/>
          <w:color w:val="auto"/>
        </w:rPr>
        <w:t>mic and occupation education;</w:t>
      </w:r>
    </w:p>
    <w:p w14:paraId="1F4C635D" w14:textId="14182D0B" w:rsidR="00145589"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 xml:space="preserve">Occupational skill training, which shall include priority consideration for training programs that lead to recognized </w:t>
      </w:r>
      <w:proofErr w:type="spellStart"/>
      <w:r w:rsidRPr="00FA71F0">
        <w:rPr>
          <w:rFonts w:ascii="Avenir Next LT Pro" w:hAnsi="Avenir Next LT Pro"/>
          <w:color w:val="auto"/>
        </w:rPr>
        <w:t>post secondary</w:t>
      </w:r>
      <w:proofErr w:type="spellEnd"/>
      <w:r w:rsidRPr="00FA71F0">
        <w:rPr>
          <w:rFonts w:ascii="Avenir Next LT Pro" w:hAnsi="Avenir Next LT Pro"/>
          <w:color w:val="auto"/>
        </w:rPr>
        <w:t xml:space="preserve"> credentials that are aligned with in-demand industry sectors or occupations in the local area</w:t>
      </w:r>
      <w:r w:rsidR="00072D71" w:rsidRPr="00FA71F0">
        <w:rPr>
          <w:rFonts w:ascii="Avenir Next LT Pro" w:hAnsi="Avenir Next LT Pro"/>
          <w:color w:val="auto"/>
        </w:rPr>
        <w:t>;</w:t>
      </w:r>
    </w:p>
    <w:p w14:paraId="52ACA248" w14:textId="4682BDD1"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Education offered concurrently with and in the same context as workforce preparation activities and training for a specific occupation or occupational cluster;</w:t>
      </w:r>
    </w:p>
    <w:p w14:paraId="5F78065C" w14:textId="6B4351D7"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Leadership development opportunities, which may include community service and peer-centered ac</w:t>
      </w:r>
      <w:r w:rsidR="00072D71" w:rsidRPr="00FA71F0">
        <w:rPr>
          <w:rFonts w:ascii="Avenir Next LT Pro" w:hAnsi="Avenir Next LT Pro"/>
          <w:color w:val="auto"/>
        </w:rPr>
        <w:t>tivities encouraging responsibility and other positive social and civic behaviors;</w:t>
      </w:r>
    </w:p>
    <w:p w14:paraId="44995BDB" w14:textId="0AC85616"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Supportive services</w:t>
      </w:r>
    </w:p>
    <w:p w14:paraId="2572B6D4" w14:textId="5ABCBD4E"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Adult mentoring for the period of participation and a subsequent period, for a total of not less than 12 months;</w:t>
      </w:r>
    </w:p>
    <w:p w14:paraId="026B5F17" w14:textId="31ABA614"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Follow</w:t>
      </w:r>
      <w:r w:rsidR="00A41A84" w:rsidRPr="00FA71F0">
        <w:rPr>
          <w:rFonts w:ascii="Avenir Next LT Pro" w:hAnsi="Avenir Next LT Pro"/>
          <w:color w:val="auto"/>
        </w:rPr>
        <w:t>-</w:t>
      </w:r>
      <w:r w:rsidR="00072D71" w:rsidRPr="00FA71F0">
        <w:rPr>
          <w:rFonts w:ascii="Avenir Next LT Pro" w:hAnsi="Avenir Next LT Pro"/>
          <w:color w:val="auto"/>
        </w:rPr>
        <w:t>up services for not less than 12 months after the completion of participant;</w:t>
      </w:r>
    </w:p>
    <w:p w14:paraId="608DF5E2" w14:textId="5CE06E0A"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Comprehensive guidance and counseling, which may include drug and alcohol abuse counseling and referral;</w:t>
      </w:r>
    </w:p>
    <w:p w14:paraId="3777D4B3" w14:textId="43759E69"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Financial literacy education;</w:t>
      </w:r>
    </w:p>
    <w:p w14:paraId="446E4E0E" w14:textId="5F47C006"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 xml:space="preserve">Entrepreneurial skills training </w:t>
      </w:r>
    </w:p>
    <w:p w14:paraId="02891FFA" w14:textId="021DABEE" w:rsidR="00072D7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Services that provide labor market and emplo</w:t>
      </w:r>
      <w:r w:rsidR="00072D71" w:rsidRPr="00FA71F0">
        <w:rPr>
          <w:rFonts w:ascii="Avenir Next LT Pro" w:hAnsi="Avenir Next LT Pro"/>
          <w:color w:val="auto"/>
        </w:rPr>
        <w:t>yment information about in-demand industry sectors or occupations available;</w:t>
      </w:r>
    </w:p>
    <w:p w14:paraId="36EE70F3" w14:textId="513A1C6B" w:rsidR="008512E1" w:rsidRPr="00FA71F0" w:rsidRDefault="00E541F4" w:rsidP="007C0029">
      <w:pPr>
        <w:pStyle w:val="BodyText"/>
        <w:numPr>
          <w:ilvl w:val="0"/>
          <w:numId w:val="7"/>
        </w:numPr>
        <w:jc w:val="both"/>
        <w:rPr>
          <w:rFonts w:ascii="Avenir Next LT Pro" w:hAnsi="Avenir Next LT Pro"/>
          <w:color w:val="auto"/>
        </w:rPr>
      </w:pPr>
      <w:r w:rsidRPr="00FA71F0">
        <w:rPr>
          <w:rFonts w:ascii="Avenir Next LT Pro" w:hAnsi="Avenir Next LT Pro"/>
          <w:color w:val="auto"/>
        </w:rPr>
        <w:t xml:space="preserve">Activities that help youth prepare for and transition to postsecondary education and training </w:t>
      </w:r>
    </w:p>
    <w:p w14:paraId="020F8173" w14:textId="77777777" w:rsidR="008512E1" w:rsidRDefault="008512E1" w:rsidP="00260DF4">
      <w:pPr>
        <w:pStyle w:val="BodyText"/>
        <w:ind w:left="360"/>
        <w:rPr>
          <w:color w:val="000000" w:themeColor="text1"/>
        </w:rPr>
      </w:pPr>
    </w:p>
    <w:p w14:paraId="51D1A07B" w14:textId="047F4F2F" w:rsidR="008512E1" w:rsidRPr="00A43079" w:rsidRDefault="008512E1" w:rsidP="00A43079">
      <w:pPr>
        <w:spacing w:before="100" w:beforeAutospacing="1" w:after="100" w:afterAutospacing="1"/>
        <w:rPr>
          <w:rFonts w:ascii="Avenir Next LT Pro" w:hAnsi="Avenir Next LT Pro" w:cs="Arial"/>
          <w:b/>
          <w:bCs/>
        </w:rPr>
      </w:pPr>
      <w:r w:rsidRPr="00A43079">
        <w:rPr>
          <w:rFonts w:ascii="Avenir Next LT Pro" w:hAnsi="Avenir Next LT Pro" w:cs="Arial"/>
          <w:b/>
          <w:bCs/>
        </w:rPr>
        <w:t xml:space="preserve">General </w:t>
      </w:r>
    </w:p>
    <w:p w14:paraId="46DD5AB7" w14:textId="77777777" w:rsidR="007A1F22" w:rsidRPr="001F704E" w:rsidRDefault="007A1F22" w:rsidP="00260DF4">
      <w:pPr>
        <w:pStyle w:val="BodyText"/>
        <w:rPr>
          <w:color w:val="000000" w:themeColor="text1"/>
        </w:rPr>
      </w:pPr>
    </w:p>
    <w:p w14:paraId="2E9F20B9" w14:textId="3B8346A7" w:rsidR="007A1F22" w:rsidRPr="00806E10" w:rsidRDefault="00806E10" w:rsidP="00260DF4">
      <w:pPr>
        <w:pStyle w:val="NormalWeb"/>
        <w:rPr>
          <w:rFonts w:ascii="Avenir Book" w:eastAsia="Calibri" w:hAnsi="Avenir Book" w:cs="Arial"/>
          <w:bCs/>
        </w:rPr>
      </w:pPr>
      <w:r w:rsidRPr="00FA71F0">
        <w:rPr>
          <w:rFonts w:ascii="Avenir Next LT Pro" w:hAnsi="Avenir Next LT Pro"/>
        </w:rPr>
        <w:t xml:space="preserve">CWMWDB has </w:t>
      </w:r>
      <w:r w:rsidR="00550578" w:rsidRPr="00FA71F0">
        <w:rPr>
          <w:rFonts w:ascii="Avenir Next LT Pro" w:hAnsi="Avenir Next LT Pro"/>
        </w:rPr>
        <w:t xml:space="preserve">simplified and </w:t>
      </w:r>
      <w:r w:rsidR="00B10C74" w:rsidRPr="00FA71F0">
        <w:rPr>
          <w:rFonts w:ascii="Avenir Next LT Pro" w:hAnsi="Avenir Next LT Pro"/>
        </w:rPr>
        <w:t>categorized</w:t>
      </w:r>
      <w:r w:rsidRPr="00FA71F0">
        <w:rPr>
          <w:rFonts w:ascii="Avenir Next LT Pro" w:hAnsi="Avenir Next LT Pro"/>
        </w:rPr>
        <w:t xml:space="preserve"> the program elements</w:t>
      </w:r>
      <w:r w:rsidR="00AC1DE8" w:rsidRPr="00FA71F0">
        <w:rPr>
          <w:rFonts w:ascii="Avenir Next LT Pro" w:hAnsi="Avenir Next LT Pro"/>
        </w:rPr>
        <w:t xml:space="preserve"> and </w:t>
      </w:r>
      <w:r w:rsidR="00B10C74" w:rsidRPr="00FA71F0">
        <w:rPr>
          <w:rFonts w:ascii="Avenir Next LT Pro" w:hAnsi="Avenir Next LT Pro"/>
        </w:rPr>
        <w:t xml:space="preserve">identified </w:t>
      </w:r>
      <w:r w:rsidR="00AC1DE8" w:rsidRPr="00FA71F0">
        <w:rPr>
          <w:rFonts w:ascii="Avenir Next LT Pro" w:hAnsi="Avenir Next LT Pro"/>
        </w:rPr>
        <w:t xml:space="preserve">applicable activities </w:t>
      </w:r>
      <w:r w:rsidR="00B10C74" w:rsidRPr="00FA71F0">
        <w:rPr>
          <w:rFonts w:ascii="Avenir Next LT Pro" w:hAnsi="Avenir Next LT Pro"/>
        </w:rPr>
        <w:t xml:space="preserve">as </w:t>
      </w:r>
      <w:r w:rsidR="00421420" w:rsidRPr="00FA71F0">
        <w:rPr>
          <w:rFonts w:ascii="Avenir Next LT Pro" w:hAnsi="Avenir Next LT Pro"/>
        </w:rPr>
        <w:t>expressed in WIOA or otherwise</w:t>
      </w:r>
      <w:r w:rsidR="00AC1DE8">
        <w:rPr>
          <w:rFonts w:ascii="Avenir Book" w:eastAsia="Calibri" w:hAnsi="Avenir Book" w:cs="Arial"/>
          <w:bCs/>
        </w:rPr>
        <w:t xml:space="preserve">.  </w:t>
      </w:r>
      <w:r w:rsidR="00A4184E" w:rsidRPr="00FA71F0">
        <w:rPr>
          <w:rFonts w:ascii="Avenir Next LT Pro" w:hAnsi="Avenir Next LT Pro"/>
        </w:rPr>
        <w:t>The activities described are no</w:t>
      </w:r>
      <w:r w:rsidR="00421420" w:rsidRPr="00FA71F0">
        <w:rPr>
          <w:rFonts w:ascii="Avenir Next LT Pro" w:hAnsi="Avenir Next LT Pro"/>
        </w:rPr>
        <w:t>t</w:t>
      </w:r>
      <w:r w:rsidR="00A4184E" w:rsidRPr="00FA71F0">
        <w:rPr>
          <w:rFonts w:ascii="Avenir Next LT Pro" w:hAnsi="Avenir Next LT Pro"/>
        </w:rPr>
        <w:t xml:space="preserve"> exclusive and may be coupled or exchanged for other meaningful engagement</w:t>
      </w:r>
      <w:r w:rsidR="00421420" w:rsidRPr="00FA71F0">
        <w:rPr>
          <w:rFonts w:ascii="Avenir Next LT Pro" w:hAnsi="Avenir Next LT Pro"/>
        </w:rPr>
        <w:t>, unless otherwise noted</w:t>
      </w:r>
      <w:r w:rsidR="00A4184E" w:rsidRPr="00FA71F0">
        <w:rPr>
          <w:rFonts w:ascii="Avenir Next LT Pro" w:hAnsi="Avenir Next LT Pro"/>
        </w:rPr>
        <w:t>.</w:t>
      </w:r>
      <w:r w:rsidR="00A4184E">
        <w:rPr>
          <w:rFonts w:ascii="Avenir Book" w:eastAsia="Calibri" w:hAnsi="Avenir Book" w:cs="Arial"/>
          <w:bCs/>
        </w:rPr>
        <w:t xml:space="preserve">  </w:t>
      </w:r>
    </w:p>
    <w:p w14:paraId="633237D1" w14:textId="5D555C33" w:rsidR="00806E10" w:rsidRPr="00775C72" w:rsidRDefault="00456391" w:rsidP="00775C72">
      <w:pPr>
        <w:pStyle w:val="NormalWeb"/>
        <w:rPr>
          <w:rFonts w:ascii="Avenir Next LT Pro" w:hAnsi="Avenir Next LT Pro"/>
          <w:b/>
          <w:bCs/>
        </w:rPr>
      </w:pPr>
      <w:r w:rsidRPr="00775C72">
        <w:rPr>
          <w:rFonts w:ascii="Avenir Next LT Pro" w:hAnsi="Avenir Next LT Pro"/>
          <w:b/>
          <w:bCs/>
        </w:rPr>
        <w:t>Training/ GED Activities</w:t>
      </w:r>
    </w:p>
    <w:p w14:paraId="2D273EA3" w14:textId="77777777" w:rsidR="00775C72" w:rsidRDefault="00775C72" w:rsidP="00775C72">
      <w:pPr>
        <w:pStyle w:val="BodyText"/>
        <w:rPr>
          <w:rFonts w:ascii="Avenir Next LT Pro" w:hAnsi="Avenir Next LT Pro"/>
          <w:i/>
          <w:iCs/>
          <w:color w:val="auto"/>
        </w:rPr>
      </w:pPr>
      <w:r>
        <w:rPr>
          <w:rFonts w:ascii="Avenir Next LT Pro" w:hAnsi="Avenir Next LT Pro"/>
          <w:i/>
          <w:iCs/>
          <w:color w:val="auto"/>
        </w:rPr>
        <w:t>Element 1</w:t>
      </w:r>
    </w:p>
    <w:p w14:paraId="2F4D9F24" w14:textId="0D450D98" w:rsidR="00C2706D" w:rsidRPr="00FA71F0" w:rsidRDefault="00456391" w:rsidP="00775C72">
      <w:pPr>
        <w:pStyle w:val="BodyText"/>
        <w:rPr>
          <w:rFonts w:ascii="Avenir Next LT Pro" w:hAnsi="Avenir Next LT Pro"/>
          <w:color w:val="auto"/>
        </w:rPr>
      </w:pPr>
      <w:r w:rsidRPr="00FA71F0">
        <w:rPr>
          <w:rFonts w:ascii="Avenir Next LT Pro" w:hAnsi="Avenir Next LT Pro"/>
          <w:i/>
          <w:iCs/>
          <w:color w:val="auto"/>
        </w:rPr>
        <w:t>Tutoring, study skills, training, instruction, remedial assistance</w:t>
      </w:r>
      <w:r w:rsidR="00A4184E" w:rsidRPr="00FA71F0">
        <w:rPr>
          <w:rFonts w:ascii="Avenir Next LT Pro" w:hAnsi="Avenir Next LT Pro"/>
          <w:color w:val="auto"/>
        </w:rPr>
        <w:t xml:space="preserve">: may include English as a Second Language </w:t>
      </w:r>
      <w:r w:rsidR="00872444" w:rsidRPr="00FA71F0">
        <w:rPr>
          <w:rFonts w:ascii="Avenir Next LT Pro" w:hAnsi="Avenir Next LT Pro"/>
          <w:color w:val="auto"/>
        </w:rPr>
        <w:t xml:space="preserve">and basic reading, writing, and mathematics </w:t>
      </w:r>
      <w:r w:rsidR="001D34BC" w:rsidRPr="00FA71F0">
        <w:rPr>
          <w:rFonts w:ascii="Avenir Next LT Pro" w:hAnsi="Avenir Next LT Pro"/>
          <w:color w:val="auto"/>
        </w:rPr>
        <w:t>content</w:t>
      </w:r>
      <w:r w:rsidR="00A4184E" w:rsidRPr="00FA71F0">
        <w:rPr>
          <w:rFonts w:ascii="Avenir Next LT Pro" w:hAnsi="Avenir Next LT Pro"/>
          <w:color w:val="auto"/>
        </w:rPr>
        <w:t>, life skills such as cooking</w:t>
      </w:r>
      <w:r w:rsidR="00872444" w:rsidRPr="00FA71F0">
        <w:rPr>
          <w:rFonts w:ascii="Avenir Next LT Pro" w:hAnsi="Avenir Next LT Pro"/>
          <w:color w:val="auto"/>
        </w:rPr>
        <w:t xml:space="preserve"> and</w:t>
      </w:r>
      <w:r w:rsidR="00754D0E" w:rsidRPr="00FA71F0">
        <w:rPr>
          <w:rFonts w:ascii="Avenir Next LT Pro" w:hAnsi="Avenir Next LT Pro"/>
          <w:color w:val="auto"/>
        </w:rPr>
        <w:t xml:space="preserve"> navigating public transportation, </w:t>
      </w:r>
      <w:r w:rsidR="00872444" w:rsidRPr="00FA71F0">
        <w:rPr>
          <w:rFonts w:ascii="Avenir Next LT Pro" w:hAnsi="Avenir Next LT Pro"/>
          <w:color w:val="auto"/>
        </w:rPr>
        <w:t xml:space="preserve">and </w:t>
      </w:r>
      <w:r w:rsidR="00754D0E" w:rsidRPr="00FA71F0">
        <w:rPr>
          <w:rFonts w:ascii="Avenir Next LT Pro" w:hAnsi="Avenir Next LT Pro"/>
          <w:color w:val="auto"/>
        </w:rPr>
        <w:t>computer literacy such as typing and exposure to updated Microsoft</w:t>
      </w:r>
      <w:r w:rsidR="00872444" w:rsidRPr="00FA71F0">
        <w:rPr>
          <w:rFonts w:ascii="Avenir Next LT Pro" w:hAnsi="Avenir Next LT Pro"/>
          <w:color w:val="auto"/>
        </w:rPr>
        <w:t xml:space="preserve"> software.  </w:t>
      </w:r>
    </w:p>
    <w:p w14:paraId="4FE14266" w14:textId="77777777" w:rsidR="00775C72" w:rsidRPr="00775C72" w:rsidRDefault="00775C72" w:rsidP="00775C72">
      <w:pPr>
        <w:pStyle w:val="BodyText"/>
        <w:rPr>
          <w:rFonts w:ascii="Avenir Next LT Pro" w:hAnsi="Avenir Next LT Pro"/>
          <w:b/>
          <w:bCs/>
          <w:i/>
          <w:iCs/>
          <w:color w:val="auto"/>
        </w:rPr>
      </w:pPr>
      <w:r w:rsidRPr="00775C72">
        <w:rPr>
          <w:rFonts w:ascii="Avenir Next LT Pro" w:hAnsi="Avenir Next LT Pro"/>
          <w:b/>
          <w:bCs/>
          <w:i/>
          <w:iCs/>
          <w:color w:val="auto"/>
        </w:rPr>
        <w:t>Element 2</w:t>
      </w:r>
    </w:p>
    <w:p w14:paraId="51FF166D" w14:textId="62C237BD" w:rsidR="00AC1DE8" w:rsidRPr="00FA71F0" w:rsidRDefault="00456391" w:rsidP="00775C72">
      <w:pPr>
        <w:pStyle w:val="BodyText"/>
        <w:rPr>
          <w:rFonts w:ascii="Avenir Next LT Pro" w:hAnsi="Avenir Next LT Pro"/>
          <w:color w:val="auto"/>
        </w:rPr>
      </w:pPr>
      <w:r w:rsidRPr="00FA71F0">
        <w:rPr>
          <w:rFonts w:ascii="Avenir Next LT Pro" w:hAnsi="Avenir Next LT Pro"/>
          <w:i/>
          <w:iCs/>
          <w:color w:val="auto"/>
        </w:rPr>
        <w:t>Alternative secondary school services/GED instruction</w:t>
      </w:r>
      <w:r w:rsidR="00A4184E" w:rsidRPr="00FA71F0">
        <w:rPr>
          <w:rFonts w:ascii="Avenir Next LT Pro" w:hAnsi="Avenir Next LT Pro"/>
          <w:color w:val="auto"/>
        </w:rPr>
        <w:t xml:space="preserve">: </w:t>
      </w:r>
      <w:r w:rsidR="009859E0" w:rsidRPr="00FA71F0">
        <w:rPr>
          <w:rFonts w:ascii="Avenir Next LT Pro" w:hAnsi="Avenir Next LT Pro"/>
          <w:color w:val="auto"/>
        </w:rPr>
        <w:t xml:space="preserve">course content may include mathematics, social studies, science, reading, and writing as required on the GED or other high school equivalency exams.  The successful completion of a practice test prior to registering for each exam is strongly encouraged.  Services should include exam registration, documentation, scheduling, and transportation guidance.  </w:t>
      </w:r>
      <w:r w:rsidRPr="00FA71F0">
        <w:rPr>
          <w:rFonts w:ascii="Avenir Next LT Pro" w:hAnsi="Avenir Next LT Pro"/>
          <w:color w:val="auto"/>
        </w:rPr>
        <w:t xml:space="preserve"> </w:t>
      </w:r>
    </w:p>
    <w:p w14:paraId="6B92C20E" w14:textId="492A6456" w:rsidR="00C2706D" w:rsidRPr="00FA71F0" w:rsidRDefault="00456391" w:rsidP="00775C72">
      <w:pPr>
        <w:pStyle w:val="BodyText"/>
        <w:numPr>
          <w:ilvl w:val="1"/>
          <w:numId w:val="2"/>
        </w:numPr>
        <w:ind w:left="0"/>
        <w:rPr>
          <w:rFonts w:ascii="Avenir Next LT Pro" w:hAnsi="Avenir Next LT Pro"/>
          <w:color w:val="auto"/>
        </w:rPr>
      </w:pPr>
      <w:r w:rsidRPr="00FA71F0">
        <w:rPr>
          <w:rFonts w:ascii="Avenir Next LT Pro" w:hAnsi="Avenir Next LT Pro"/>
          <w:i/>
          <w:iCs/>
          <w:color w:val="auto"/>
        </w:rPr>
        <w:t>Transition to postsecondary education activities and training</w:t>
      </w:r>
      <w:r w:rsidR="00AC1DE8" w:rsidRPr="00FA71F0">
        <w:rPr>
          <w:rFonts w:ascii="Avenir Next LT Pro" w:hAnsi="Avenir Next LT Pro"/>
          <w:color w:val="auto"/>
        </w:rPr>
        <w:t xml:space="preserve">: </w:t>
      </w:r>
      <w:r w:rsidR="001D34BC" w:rsidRPr="00FA71F0">
        <w:rPr>
          <w:rFonts w:ascii="Avenir Next LT Pro" w:hAnsi="Avenir Next LT Pro"/>
          <w:color w:val="auto"/>
        </w:rPr>
        <w:t xml:space="preserve">career exploration, </w:t>
      </w:r>
      <w:r w:rsidR="00B10C74" w:rsidRPr="00FA71F0">
        <w:rPr>
          <w:rFonts w:ascii="Avenir Next LT Pro" w:hAnsi="Avenir Next LT Pro"/>
          <w:color w:val="auto"/>
        </w:rPr>
        <w:t xml:space="preserve">and </w:t>
      </w:r>
      <w:r w:rsidR="00AC1DE8" w:rsidRPr="00FA71F0">
        <w:rPr>
          <w:rFonts w:ascii="Avenir Next LT Pro" w:hAnsi="Avenir Next LT Pro"/>
          <w:color w:val="auto"/>
        </w:rPr>
        <w:t xml:space="preserve">provision of career pathways among the top 3 industries and top 5 occupations in the region.  </w:t>
      </w:r>
    </w:p>
    <w:p w14:paraId="2567C510" w14:textId="1AE98DB7" w:rsidR="00456391" w:rsidRPr="00FA71F0" w:rsidRDefault="00A41A84" w:rsidP="00892556">
      <w:pPr>
        <w:pStyle w:val="BodyText"/>
        <w:numPr>
          <w:ilvl w:val="1"/>
          <w:numId w:val="2"/>
        </w:numPr>
        <w:ind w:left="878"/>
        <w:rPr>
          <w:rFonts w:ascii="Avenir Next LT Pro" w:hAnsi="Avenir Next LT Pro"/>
          <w:color w:val="auto"/>
        </w:rPr>
      </w:pPr>
      <w:r w:rsidRPr="00FA71F0">
        <w:rPr>
          <w:rFonts w:ascii="Avenir Next LT Pro" w:hAnsi="Avenir Next LT Pro"/>
          <w:i/>
          <w:iCs/>
          <w:color w:val="auto"/>
        </w:rPr>
        <w:t>Financial literacy education</w:t>
      </w:r>
      <w:r w:rsidR="00AC1DE8" w:rsidRPr="00FA71F0">
        <w:rPr>
          <w:rFonts w:ascii="Avenir Next LT Pro" w:hAnsi="Avenir Next LT Pro"/>
          <w:color w:val="auto"/>
        </w:rPr>
        <w:t>: creating household budgets, savings plans, making “informed financial decisions about education, retirement, homeownership, wealth building, or other savings goals”, spending, debt and credit management, “supporting the ability to understand, evaluate, and compare financial products, services, and opportunities”, and understanding basic currency (WIOA Section 129 (c)(2)(D)</w:t>
      </w:r>
      <w:r w:rsidR="00B10C74" w:rsidRPr="00FA71F0">
        <w:rPr>
          <w:rFonts w:ascii="Avenir Next LT Pro" w:hAnsi="Avenir Next LT Pro"/>
          <w:color w:val="auto"/>
        </w:rPr>
        <w:t>.</w:t>
      </w:r>
      <w:r w:rsidR="00AC1DE8" w:rsidRPr="00FA71F0">
        <w:rPr>
          <w:rFonts w:ascii="Avenir Next LT Pro" w:hAnsi="Avenir Next LT Pro"/>
          <w:color w:val="auto"/>
        </w:rPr>
        <w:t xml:space="preserve"> </w:t>
      </w:r>
      <w:r w:rsidRPr="00FA71F0">
        <w:rPr>
          <w:rFonts w:ascii="Avenir Next LT Pro" w:hAnsi="Avenir Next LT Pro"/>
          <w:color w:val="auto"/>
        </w:rPr>
        <w:t xml:space="preserve"> </w:t>
      </w:r>
    </w:p>
    <w:p w14:paraId="7B29EAD8" w14:textId="70A15ED7" w:rsidR="00456391" w:rsidRPr="00FA71F0" w:rsidRDefault="00456391" w:rsidP="00892556">
      <w:pPr>
        <w:pStyle w:val="NormalWeb"/>
        <w:numPr>
          <w:ilvl w:val="0"/>
          <w:numId w:val="3"/>
        </w:numPr>
        <w:rPr>
          <w:rFonts w:ascii="Avenir Next LT Pro" w:hAnsi="Avenir Next LT Pro"/>
        </w:rPr>
      </w:pPr>
      <w:r w:rsidRPr="00FA71F0">
        <w:rPr>
          <w:rFonts w:ascii="Avenir Next LT Pro" w:hAnsi="Avenir Next LT Pro"/>
        </w:rPr>
        <w:t xml:space="preserve">Work Experience </w:t>
      </w:r>
    </w:p>
    <w:p w14:paraId="79C06247" w14:textId="2F72F959" w:rsidR="00456391" w:rsidRPr="00C2706D" w:rsidRDefault="00456391" w:rsidP="00FA71F0">
      <w:pPr>
        <w:pStyle w:val="NormalWeb"/>
        <w:numPr>
          <w:ilvl w:val="1"/>
          <w:numId w:val="3"/>
        </w:numPr>
        <w:ind w:left="878"/>
        <w:rPr>
          <w:rFonts w:ascii="Avenir Book" w:eastAsia="Calibri" w:hAnsi="Avenir Book" w:cs="Arial"/>
          <w:bCs/>
        </w:rPr>
      </w:pPr>
      <w:r w:rsidRPr="00FA71F0">
        <w:rPr>
          <w:rFonts w:ascii="Avenir Next LT Pro" w:hAnsi="Avenir Next LT Pro"/>
          <w:i/>
          <w:iCs/>
        </w:rPr>
        <w:t>Occupational skills training</w:t>
      </w:r>
      <w:r w:rsidR="00B10C74" w:rsidRPr="00FA71F0">
        <w:rPr>
          <w:rFonts w:ascii="Avenir Next LT Pro" w:hAnsi="Avenir Next LT Pro"/>
        </w:rPr>
        <w:t xml:space="preserve">: “shall include priority consideration for training programs that lead to recognized postsecondary credentials that are aligned with in-demand industry sectors or occupations in the local area” (WIOA Section 129 (c)(2)(D). </w:t>
      </w:r>
    </w:p>
    <w:p w14:paraId="43A415FC" w14:textId="2902CDB1" w:rsidR="00456391" w:rsidRPr="00C2706D" w:rsidRDefault="00456391" w:rsidP="00892556">
      <w:pPr>
        <w:pStyle w:val="BodyText"/>
        <w:numPr>
          <w:ilvl w:val="1"/>
          <w:numId w:val="3"/>
        </w:numPr>
        <w:ind w:left="878"/>
        <w:rPr>
          <w:rFonts w:ascii="Avenir Book" w:eastAsia="Calibri" w:hAnsi="Avenir Book" w:cs="Arial"/>
          <w:bCs/>
          <w:color w:val="auto"/>
        </w:rPr>
      </w:pPr>
      <w:r w:rsidRPr="00FA71F0">
        <w:rPr>
          <w:rFonts w:ascii="Avenir Next LT Pro" w:hAnsi="Avenir Next LT Pro"/>
          <w:i/>
          <w:iCs/>
          <w:color w:val="auto"/>
        </w:rPr>
        <w:t>Summer employment opportunities</w:t>
      </w:r>
      <w:r w:rsidR="00A4184E" w:rsidRPr="00FA71F0">
        <w:rPr>
          <w:rFonts w:ascii="Avenir Next LT Pro" w:hAnsi="Avenir Next LT Pro"/>
          <w:color w:val="auto"/>
        </w:rPr>
        <w:t>: Set forth by CWMWDB Work Experience policy</w:t>
      </w:r>
      <w:r w:rsidR="00A4184E">
        <w:rPr>
          <w:rFonts w:ascii="Avenir Book" w:eastAsia="Calibri" w:hAnsi="Avenir Book" w:cs="Arial"/>
          <w:bCs/>
          <w:color w:val="auto"/>
        </w:rPr>
        <w:t xml:space="preserve"> </w:t>
      </w:r>
      <w:r w:rsidRPr="00C2706D">
        <w:rPr>
          <w:rFonts w:ascii="Avenir Book" w:eastAsia="Calibri" w:hAnsi="Avenir Book" w:cs="Arial"/>
          <w:bCs/>
          <w:color w:val="auto"/>
        </w:rPr>
        <w:t xml:space="preserve"> </w:t>
      </w:r>
    </w:p>
    <w:p w14:paraId="39C0C8C9" w14:textId="300C9A68" w:rsidR="00456391" w:rsidRPr="00FA71F0" w:rsidRDefault="00456391" w:rsidP="00892556">
      <w:pPr>
        <w:pStyle w:val="BodyText"/>
        <w:numPr>
          <w:ilvl w:val="1"/>
          <w:numId w:val="3"/>
        </w:numPr>
        <w:ind w:left="878"/>
        <w:rPr>
          <w:rFonts w:ascii="Avenir Next LT Pro" w:hAnsi="Avenir Next LT Pro"/>
          <w:color w:val="auto"/>
        </w:rPr>
      </w:pPr>
      <w:r w:rsidRPr="00FA71F0">
        <w:rPr>
          <w:rFonts w:ascii="Avenir Next LT Pro" w:hAnsi="Avenir Next LT Pro"/>
          <w:i/>
          <w:iCs/>
          <w:color w:val="auto"/>
        </w:rPr>
        <w:t>Paid and unpaid work experience</w:t>
      </w:r>
      <w:r w:rsidR="001D34BC" w:rsidRPr="00FA71F0">
        <w:rPr>
          <w:rFonts w:ascii="Avenir Next LT Pro" w:hAnsi="Avenir Next LT Pro"/>
          <w:color w:val="auto"/>
        </w:rPr>
        <w:t xml:space="preserve">: may include pre-apprenticeship programs, internships, job shadowing, and On-the-Job Training set forth by CWMWDB On-the-Job Training policy </w:t>
      </w:r>
      <w:r w:rsidRPr="00FA71F0">
        <w:rPr>
          <w:rFonts w:ascii="Avenir Next LT Pro" w:hAnsi="Avenir Next LT Pro"/>
          <w:color w:val="auto"/>
        </w:rPr>
        <w:t xml:space="preserve"> </w:t>
      </w:r>
    </w:p>
    <w:p w14:paraId="441E296E" w14:textId="42735C12" w:rsidR="00456391" w:rsidRPr="00FA71F0" w:rsidRDefault="00456391" w:rsidP="00892556">
      <w:pPr>
        <w:pStyle w:val="NormalWeb"/>
        <w:numPr>
          <w:ilvl w:val="0"/>
          <w:numId w:val="3"/>
        </w:numPr>
        <w:rPr>
          <w:rFonts w:ascii="Avenir Next LT Pro" w:hAnsi="Avenir Next LT Pro"/>
        </w:rPr>
      </w:pPr>
      <w:r w:rsidRPr="00FA71F0">
        <w:rPr>
          <w:rFonts w:ascii="Avenir Next LT Pro" w:hAnsi="Avenir Next LT Pro"/>
        </w:rPr>
        <w:t xml:space="preserve">Soft Skills/ Mentoring  </w:t>
      </w:r>
    </w:p>
    <w:p w14:paraId="1146D1EC" w14:textId="329560D3" w:rsidR="00A41A84" w:rsidRPr="00FA71F0" w:rsidRDefault="00A41A84" w:rsidP="00FA71F0">
      <w:pPr>
        <w:pStyle w:val="NormalWeb"/>
        <w:numPr>
          <w:ilvl w:val="1"/>
          <w:numId w:val="3"/>
        </w:numPr>
        <w:ind w:left="878"/>
        <w:rPr>
          <w:rFonts w:ascii="Avenir Next LT Pro" w:hAnsi="Avenir Next LT Pro"/>
        </w:rPr>
      </w:pPr>
      <w:r w:rsidRPr="00FA71F0">
        <w:rPr>
          <w:rFonts w:ascii="Avenir Next LT Pro" w:hAnsi="Avenir Next LT Pro"/>
          <w:i/>
          <w:iCs/>
        </w:rPr>
        <w:t>Entrepreneurial skills training</w:t>
      </w:r>
      <w:r w:rsidR="00421420" w:rsidRPr="00FA71F0">
        <w:rPr>
          <w:rFonts w:ascii="Avenir Next LT Pro" w:hAnsi="Avenir Next LT Pro"/>
        </w:rPr>
        <w:t>: may be in partnership with economic development</w:t>
      </w:r>
      <w:r w:rsidR="00EC5BF1" w:rsidRPr="00FA71F0">
        <w:rPr>
          <w:rFonts w:ascii="Avenir Next LT Pro" w:hAnsi="Avenir Next LT Pro"/>
        </w:rPr>
        <w:t xml:space="preserve"> </w:t>
      </w:r>
      <w:r w:rsidR="00421420" w:rsidRPr="00FA71F0">
        <w:rPr>
          <w:rFonts w:ascii="Avenir Next LT Pro" w:hAnsi="Avenir Next LT Pro"/>
        </w:rPr>
        <w:t>organizations</w:t>
      </w:r>
      <w:r w:rsidR="00EC5BF1" w:rsidRPr="00FA71F0">
        <w:rPr>
          <w:rFonts w:ascii="Avenir Next LT Pro" w:hAnsi="Avenir Next LT Pro"/>
        </w:rPr>
        <w:t>, community development organization,</w:t>
      </w:r>
      <w:r w:rsidR="00421420" w:rsidRPr="00FA71F0">
        <w:rPr>
          <w:rFonts w:ascii="Avenir Next LT Pro" w:hAnsi="Avenir Next LT Pro"/>
        </w:rPr>
        <w:t xml:space="preserve"> or the local chamber of commerce.  </w:t>
      </w:r>
      <w:r w:rsidRPr="00FA71F0">
        <w:rPr>
          <w:rFonts w:ascii="Avenir Next LT Pro" w:hAnsi="Avenir Next LT Pro"/>
        </w:rPr>
        <w:t xml:space="preserve"> </w:t>
      </w:r>
    </w:p>
    <w:p w14:paraId="14A1711F" w14:textId="06C49F55" w:rsidR="00A41A84" w:rsidRDefault="00A41A84" w:rsidP="00892556">
      <w:pPr>
        <w:pStyle w:val="BodyText"/>
        <w:numPr>
          <w:ilvl w:val="1"/>
          <w:numId w:val="3"/>
        </w:numPr>
        <w:ind w:left="878"/>
        <w:rPr>
          <w:rFonts w:ascii="Avenir Next LT Pro" w:hAnsi="Avenir Next LT Pro"/>
          <w:color w:val="auto"/>
        </w:rPr>
      </w:pPr>
      <w:r w:rsidRPr="00FA71F0">
        <w:rPr>
          <w:rFonts w:ascii="Avenir Next LT Pro" w:hAnsi="Avenir Next LT Pro"/>
          <w:i/>
          <w:iCs/>
          <w:color w:val="auto"/>
        </w:rPr>
        <w:t>Leadership development program</w:t>
      </w:r>
      <w:r w:rsidR="00EC5BF1" w:rsidRPr="00FA71F0">
        <w:rPr>
          <w:rFonts w:ascii="Avenir Next LT Pro" w:hAnsi="Avenir Next LT Pro"/>
          <w:color w:val="auto"/>
        </w:rPr>
        <w:t>: “may include community service and peer-centered activities encouraging responsibility and other positive social and civic behaviors” WIOA 129(c)(2)(F)</w:t>
      </w:r>
      <w:r w:rsidRPr="00FA71F0">
        <w:rPr>
          <w:rFonts w:ascii="Avenir Next LT Pro" w:hAnsi="Avenir Next LT Pro"/>
          <w:color w:val="auto"/>
        </w:rPr>
        <w:t xml:space="preserve"> </w:t>
      </w:r>
    </w:p>
    <w:p w14:paraId="4021427E" w14:textId="77777777" w:rsidR="00B36B02" w:rsidRPr="00FA71F0" w:rsidRDefault="00B36B02" w:rsidP="00B36B02">
      <w:pPr>
        <w:pStyle w:val="BodyText"/>
        <w:ind w:left="878"/>
        <w:rPr>
          <w:rFonts w:ascii="Avenir Next LT Pro" w:hAnsi="Avenir Next LT Pro"/>
          <w:color w:val="auto"/>
        </w:rPr>
      </w:pPr>
    </w:p>
    <w:p w14:paraId="5E9FF382" w14:textId="78F3190B" w:rsidR="00A41A84" w:rsidRPr="00FA71F0" w:rsidRDefault="00A41A84" w:rsidP="00892556">
      <w:pPr>
        <w:pStyle w:val="BodyText"/>
        <w:numPr>
          <w:ilvl w:val="1"/>
          <w:numId w:val="3"/>
        </w:numPr>
        <w:ind w:left="878"/>
        <w:rPr>
          <w:rFonts w:ascii="Avenir Next LT Pro" w:hAnsi="Avenir Next LT Pro"/>
          <w:color w:val="auto"/>
        </w:rPr>
      </w:pPr>
      <w:r w:rsidRPr="00FA71F0">
        <w:rPr>
          <w:rFonts w:ascii="Avenir Next LT Pro" w:hAnsi="Avenir Next LT Pro"/>
          <w:i/>
          <w:iCs/>
          <w:color w:val="auto"/>
        </w:rPr>
        <w:t xml:space="preserve">Labor market and employment </w:t>
      </w:r>
      <w:r w:rsidR="00E9471C" w:rsidRPr="00FA71F0">
        <w:rPr>
          <w:rFonts w:ascii="Avenir Next LT Pro" w:hAnsi="Avenir Next LT Pro"/>
          <w:i/>
          <w:iCs/>
          <w:color w:val="auto"/>
        </w:rPr>
        <w:t>instruction</w:t>
      </w:r>
      <w:r w:rsidR="001D34BC" w:rsidRPr="00FA71F0">
        <w:rPr>
          <w:rFonts w:ascii="Avenir Next LT Pro" w:hAnsi="Avenir Next LT Pro"/>
          <w:color w:val="auto"/>
        </w:rPr>
        <w:t xml:space="preserve">:  the provision of the Maine Department of Labor Center for Research and Information and U.S. Bureau of Labor Statistics website.   </w:t>
      </w:r>
      <w:r w:rsidRPr="00FA71F0">
        <w:rPr>
          <w:rFonts w:ascii="Avenir Next LT Pro" w:hAnsi="Avenir Next LT Pro"/>
          <w:color w:val="auto"/>
        </w:rPr>
        <w:t xml:space="preserve"> </w:t>
      </w:r>
    </w:p>
    <w:p w14:paraId="3763DA70" w14:textId="6CD7D7BA" w:rsidR="00456391" w:rsidRPr="00FA71F0" w:rsidRDefault="00456391" w:rsidP="00892556">
      <w:pPr>
        <w:pStyle w:val="NormalWeb"/>
        <w:numPr>
          <w:ilvl w:val="0"/>
          <w:numId w:val="3"/>
        </w:numPr>
        <w:rPr>
          <w:rFonts w:ascii="Avenir Next LT Pro" w:hAnsi="Avenir Next LT Pro"/>
        </w:rPr>
      </w:pPr>
      <w:r w:rsidRPr="00FA71F0">
        <w:rPr>
          <w:rFonts w:ascii="Avenir Next LT Pro" w:hAnsi="Avenir Next LT Pro"/>
        </w:rPr>
        <w:t xml:space="preserve">Case Management &amp; Service Provision </w:t>
      </w:r>
    </w:p>
    <w:p w14:paraId="2F7BFBF9" w14:textId="1277F474" w:rsidR="00456391" w:rsidRPr="00FA71F0" w:rsidRDefault="00456391" w:rsidP="00892556">
      <w:pPr>
        <w:pStyle w:val="BodyText"/>
        <w:numPr>
          <w:ilvl w:val="1"/>
          <w:numId w:val="3"/>
        </w:numPr>
        <w:ind w:left="878"/>
        <w:rPr>
          <w:rFonts w:ascii="Avenir Next LT Pro" w:hAnsi="Avenir Next LT Pro"/>
          <w:color w:val="auto"/>
        </w:rPr>
      </w:pPr>
      <w:r w:rsidRPr="00FA71F0">
        <w:rPr>
          <w:rFonts w:ascii="Avenir Next LT Pro" w:hAnsi="Avenir Next LT Pro"/>
          <w:i/>
          <w:iCs/>
          <w:color w:val="auto"/>
        </w:rPr>
        <w:t>Adult mentoring</w:t>
      </w:r>
      <w:r w:rsidR="001D34BC" w:rsidRPr="00FA71F0">
        <w:rPr>
          <w:rFonts w:ascii="Avenir Next LT Pro" w:hAnsi="Avenir Next LT Pro"/>
          <w:color w:val="auto"/>
        </w:rPr>
        <w:t xml:space="preserve">: must be available for a minimum of 12 months </w:t>
      </w:r>
      <w:r w:rsidR="009B71DE" w:rsidRPr="00FA71F0">
        <w:rPr>
          <w:rFonts w:ascii="Avenir Next LT Pro" w:hAnsi="Avenir Next LT Pro"/>
          <w:color w:val="auto"/>
        </w:rPr>
        <w:t>and subject to socialization, school, career, work, personal relationships, finances, living conditions, and decision making</w:t>
      </w:r>
      <w:r w:rsidR="00421420" w:rsidRPr="00FA71F0">
        <w:rPr>
          <w:rFonts w:ascii="Avenir Next LT Pro" w:hAnsi="Avenir Next LT Pro"/>
          <w:color w:val="auto"/>
        </w:rPr>
        <w:t>.</w:t>
      </w:r>
    </w:p>
    <w:p w14:paraId="59A83C3E" w14:textId="606EB739" w:rsidR="00456391" w:rsidRPr="00FA71F0" w:rsidRDefault="00456391" w:rsidP="00892556">
      <w:pPr>
        <w:pStyle w:val="BodyText"/>
        <w:numPr>
          <w:ilvl w:val="1"/>
          <w:numId w:val="3"/>
        </w:numPr>
        <w:ind w:left="878"/>
        <w:rPr>
          <w:rFonts w:ascii="Avenir Next LT Pro" w:hAnsi="Avenir Next LT Pro"/>
          <w:color w:val="auto"/>
        </w:rPr>
      </w:pPr>
      <w:r w:rsidRPr="00FA71F0">
        <w:rPr>
          <w:rFonts w:ascii="Avenir Next LT Pro" w:hAnsi="Avenir Next LT Pro"/>
          <w:i/>
          <w:iCs/>
          <w:color w:val="auto"/>
        </w:rPr>
        <w:t>Comprehensive guidance &amp; mentoring</w:t>
      </w:r>
      <w:r w:rsidR="009B71DE" w:rsidRPr="00FA71F0">
        <w:rPr>
          <w:rFonts w:ascii="Avenir Next LT Pro" w:hAnsi="Avenir Next LT Pro"/>
          <w:color w:val="auto"/>
        </w:rPr>
        <w:t xml:space="preserve">: </w:t>
      </w:r>
      <w:r w:rsidR="00754D0E" w:rsidRPr="00FA71F0">
        <w:rPr>
          <w:rFonts w:ascii="Avenir Next LT Pro" w:hAnsi="Avenir Next LT Pro"/>
          <w:color w:val="auto"/>
        </w:rPr>
        <w:t xml:space="preserve">especially for drug and alcohol </w:t>
      </w:r>
      <w:proofErr w:type="gramStart"/>
      <w:r w:rsidR="00754D0E" w:rsidRPr="00FA71F0">
        <w:rPr>
          <w:rFonts w:ascii="Avenir Next LT Pro" w:hAnsi="Avenir Next LT Pro"/>
          <w:color w:val="auto"/>
        </w:rPr>
        <w:t>abuse, and</w:t>
      </w:r>
      <w:proofErr w:type="gramEnd"/>
      <w:r w:rsidR="00754D0E" w:rsidRPr="00FA71F0">
        <w:rPr>
          <w:rFonts w:ascii="Avenir Next LT Pro" w:hAnsi="Avenir Next LT Pro"/>
          <w:color w:val="auto"/>
        </w:rPr>
        <w:t xml:space="preserve"> may be referred to appropriate providers that are physically accessible to participants</w:t>
      </w:r>
      <w:r w:rsidR="00421420" w:rsidRPr="00FA71F0">
        <w:rPr>
          <w:rFonts w:ascii="Avenir Next LT Pro" w:hAnsi="Avenir Next LT Pro"/>
          <w:color w:val="auto"/>
        </w:rPr>
        <w:t>.</w:t>
      </w:r>
      <w:r w:rsidR="00754D0E" w:rsidRPr="00FA71F0">
        <w:rPr>
          <w:rFonts w:ascii="Avenir Next LT Pro" w:hAnsi="Avenir Next LT Pro"/>
          <w:color w:val="auto"/>
        </w:rPr>
        <w:t xml:space="preserve"> </w:t>
      </w:r>
    </w:p>
    <w:p w14:paraId="36E12FC4" w14:textId="33D4A9EB" w:rsidR="00456391" w:rsidRPr="00FA71F0" w:rsidRDefault="00456391" w:rsidP="00892556">
      <w:pPr>
        <w:pStyle w:val="BodyText"/>
        <w:numPr>
          <w:ilvl w:val="1"/>
          <w:numId w:val="3"/>
        </w:numPr>
        <w:ind w:left="878"/>
        <w:rPr>
          <w:rFonts w:ascii="Avenir Next LT Pro" w:hAnsi="Avenir Next LT Pro"/>
          <w:color w:val="auto"/>
        </w:rPr>
      </w:pPr>
      <w:r w:rsidRPr="00FA71F0">
        <w:rPr>
          <w:rFonts w:ascii="Avenir Next LT Pro" w:hAnsi="Avenir Next LT Pro"/>
          <w:i/>
          <w:iCs/>
          <w:color w:val="auto"/>
        </w:rPr>
        <w:t>Follow-up</w:t>
      </w:r>
      <w:r w:rsidR="00AC1DE8" w:rsidRPr="00FA71F0">
        <w:rPr>
          <w:rFonts w:ascii="Avenir Next LT Pro" w:hAnsi="Avenir Next LT Pro"/>
          <w:color w:val="auto"/>
        </w:rPr>
        <w:t xml:space="preserve">: Set forth by </w:t>
      </w:r>
    </w:p>
    <w:p w14:paraId="3636F4D0" w14:textId="76254F04" w:rsidR="00D3766B" w:rsidRPr="00FA71F0" w:rsidRDefault="00456391" w:rsidP="00D3766B">
      <w:pPr>
        <w:pStyle w:val="BodyText"/>
        <w:numPr>
          <w:ilvl w:val="1"/>
          <w:numId w:val="3"/>
        </w:numPr>
        <w:ind w:left="878"/>
        <w:rPr>
          <w:rFonts w:ascii="Avenir Next LT Pro" w:hAnsi="Avenir Next LT Pro"/>
          <w:color w:val="auto"/>
        </w:rPr>
      </w:pPr>
      <w:r w:rsidRPr="00FA71F0">
        <w:rPr>
          <w:rFonts w:ascii="Avenir Next LT Pro" w:hAnsi="Avenir Next LT Pro"/>
          <w:i/>
          <w:iCs/>
          <w:color w:val="auto"/>
        </w:rPr>
        <w:t>Supportive services</w:t>
      </w:r>
      <w:r w:rsidR="00AC1DE8" w:rsidRPr="00FA71F0">
        <w:rPr>
          <w:rFonts w:ascii="Avenir Next LT Pro" w:hAnsi="Avenir Next LT Pro"/>
          <w:color w:val="auto"/>
        </w:rPr>
        <w:t xml:space="preserve">: </w:t>
      </w:r>
    </w:p>
    <w:p w14:paraId="3B3A6D9F" w14:textId="77777777" w:rsidR="00D3766B" w:rsidRDefault="00D3766B" w:rsidP="002F326D">
      <w:pPr>
        <w:pStyle w:val="NormalWeb"/>
        <w:spacing w:before="0" w:beforeAutospacing="0" w:after="0" w:afterAutospacing="0"/>
        <w:rPr>
          <w:rFonts w:ascii="Avenir Book" w:eastAsia="Calibri" w:hAnsi="Avenir Book" w:cs="Arial"/>
          <w:bCs/>
        </w:rPr>
      </w:pPr>
    </w:p>
    <w:p w14:paraId="1C83F95E" w14:textId="6943225B" w:rsidR="002F326D" w:rsidRPr="00FA71F0" w:rsidRDefault="00806E10" w:rsidP="002F326D">
      <w:pPr>
        <w:pStyle w:val="NormalWeb"/>
        <w:spacing w:before="0" w:beforeAutospacing="0" w:after="0" w:afterAutospacing="0"/>
        <w:rPr>
          <w:rFonts w:ascii="Avenir Next LT Pro" w:hAnsi="Avenir Next LT Pro"/>
        </w:rPr>
      </w:pPr>
      <w:r w:rsidRPr="00FA71F0">
        <w:rPr>
          <w:rFonts w:ascii="Avenir Next LT Pro" w:hAnsi="Avenir Next LT Pro"/>
        </w:rPr>
        <w:t xml:space="preserve">To the greatest extent possible, </w:t>
      </w:r>
      <w:r w:rsidR="00A32284" w:rsidRPr="00FA71F0">
        <w:rPr>
          <w:rFonts w:ascii="Avenir Next LT Pro" w:hAnsi="Avenir Next LT Pro"/>
        </w:rPr>
        <w:t>all</w:t>
      </w:r>
      <w:r w:rsidRPr="00FA71F0">
        <w:rPr>
          <w:rFonts w:ascii="Avenir Next LT Pro" w:hAnsi="Avenir Next LT Pro"/>
        </w:rPr>
        <w:t xml:space="preserve"> </w:t>
      </w:r>
      <w:r w:rsidR="009A467A" w:rsidRPr="00FA71F0">
        <w:rPr>
          <w:rFonts w:ascii="Avenir Next LT Pro" w:hAnsi="Avenir Next LT Pro"/>
        </w:rPr>
        <w:t>participants</w:t>
      </w:r>
      <w:r w:rsidRPr="00FA71F0">
        <w:rPr>
          <w:rFonts w:ascii="Avenir Next LT Pro" w:hAnsi="Avenir Next LT Pro"/>
        </w:rPr>
        <w:t xml:space="preserve"> </w:t>
      </w:r>
      <w:r w:rsidR="00A32284" w:rsidRPr="00FA71F0">
        <w:rPr>
          <w:rFonts w:ascii="Avenir Next LT Pro" w:hAnsi="Avenir Next LT Pro"/>
        </w:rPr>
        <w:t xml:space="preserve">shall receive </w:t>
      </w:r>
      <w:r w:rsidRPr="00FA71F0">
        <w:rPr>
          <w:rFonts w:ascii="Avenir Next LT Pro" w:hAnsi="Avenir Next LT Pro"/>
        </w:rPr>
        <w:t>at minimum one service from each category</w:t>
      </w:r>
      <w:r w:rsidR="004E1D14" w:rsidRPr="00FA71F0">
        <w:rPr>
          <w:rFonts w:ascii="Avenir Next LT Pro" w:hAnsi="Avenir Next LT Pro"/>
        </w:rPr>
        <w:t xml:space="preserve"> </w:t>
      </w:r>
      <w:r w:rsidR="005943C9" w:rsidRPr="00FA71F0">
        <w:rPr>
          <w:rFonts w:ascii="Avenir Next LT Pro" w:hAnsi="Avenir Next LT Pro"/>
        </w:rPr>
        <w:t>by</w:t>
      </w:r>
      <w:r w:rsidR="004E1D14" w:rsidRPr="00FA71F0">
        <w:rPr>
          <w:rFonts w:ascii="Avenir Next LT Pro" w:hAnsi="Avenir Next LT Pro"/>
        </w:rPr>
        <w:t xml:space="preserve"> the WIOA </w:t>
      </w:r>
      <w:r w:rsidR="00260DF4" w:rsidRPr="00FA71F0">
        <w:rPr>
          <w:rFonts w:ascii="Avenir Next LT Pro" w:hAnsi="Avenir Next LT Pro"/>
        </w:rPr>
        <w:t>exit date</w:t>
      </w:r>
      <w:r w:rsidRPr="00FA71F0">
        <w:rPr>
          <w:rFonts w:ascii="Avenir Next LT Pro" w:hAnsi="Avenir Next LT Pro"/>
        </w:rPr>
        <w:t xml:space="preserve">.  </w:t>
      </w:r>
      <w:r w:rsidR="00A32284" w:rsidRPr="00FA71F0">
        <w:rPr>
          <w:rFonts w:ascii="Avenir Next LT Pro" w:hAnsi="Avenir Next LT Pro"/>
        </w:rPr>
        <w:t xml:space="preserve">In the event a youth meets the CWMWDB Youth Requirements for Additional Services criteria, a minimum of two services per category shall be provided.  </w:t>
      </w:r>
      <w:r w:rsidR="0061549F" w:rsidRPr="00FA71F0">
        <w:rPr>
          <w:rFonts w:ascii="Avenir Next LT Pro" w:hAnsi="Avenir Next LT Pro"/>
        </w:rPr>
        <w:t xml:space="preserve">Services may be administered by </w:t>
      </w:r>
      <w:r w:rsidR="00841CE0" w:rsidRPr="00FA71F0">
        <w:rPr>
          <w:rFonts w:ascii="Avenir Next LT Pro" w:hAnsi="Avenir Next LT Pro"/>
        </w:rPr>
        <w:t>multiple</w:t>
      </w:r>
      <w:r w:rsidR="0061549F" w:rsidRPr="00FA71F0">
        <w:rPr>
          <w:rFonts w:ascii="Avenir Next LT Pro" w:hAnsi="Avenir Next LT Pro"/>
        </w:rPr>
        <w:t xml:space="preserve"> providers, </w:t>
      </w:r>
      <w:r w:rsidR="00841CE0" w:rsidRPr="00FA71F0">
        <w:rPr>
          <w:rFonts w:ascii="Avenir Next LT Pro" w:hAnsi="Avenir Next LT Pro"/>
        </w:rPr>
        <w:t>including sub-grantees, academic institutions, adult education providers</w:t>
      </w:r>
      <w:r w:rsidR="006D28CB" w:rsidRPr="00FA71F0">
        <w:rPr>
          <w:rFonts w:ascii="Avenir Next LT Pro" w:hAnsi="Avenir Next LT Pro"/>
        </w:rPr>
        <w:t xml:space="preserve">, </w:t>
      </w:r>
      <w:r w:rsidR="00841CE0" w:rsidRPr="00FA71F0">
        <w:rPr>
          <w:rFonts w:ascii="Avenir Next LT Pro" w:hAnsi="Avenir Next LT Pro"/>
        </w:rPr>
        <w:t>employers</w:t>
      </w:r>
      <w:r w:rsidR="006D28CB" w:rsidRPr="00FA71F0">
        <w:rPr>
          <w:rFonts w:ascii="Avenir Next LT Pro" w:hAnsi="Avenir Next LT Pro"/>
        </w:rPr>
        <w:t>, and other public programs</w:t>
      </w:r>
      <w:r w:rsidR="00841CE0" w:rsidRPr="00FA71F0">
        <w:rPr>
          <w:rFonts w:ascii="Avenir Next LT Pro" w:hAnsi="Avenir Next LT Pro"/>
        </w:rPr>
        <w:t xml:space="preserve">.  Should multiple vendors provide services under the designated service provider, a Program Design must be provided </w:t>
      </w:r>
      <w:r w:rsidR="00A95DF9" w:rsidRPr="00FA71F0">
        <w:rPr>
          <w:rFonts w:ascii="Avenir Next LT Pro" w:hAnsi="Avenir Next LT Pro"/>
        </w:rPr>
        <w:t xml:space="preserve">by the sub-grantee </w:t>
      </w:r>
      <w:r w:rsidR="00841CE0" w:rsidRPr="00FA71F0">
        <w:rPr>
          <w:rFonts w:ascii="Avenir Next LT Pro" w:hAnsi="Avenir Next LT Pro"/>
        </w:rPr>
        <w:t xml:space="preserve">and </w:t>
      </w:r>
      <w:r w:rsidR="00A95DF9" w:rsidRPr="00FA71F0">
        <w:rPr>
          <w:rFonts w:ascii="Avenir Next LT Pro" w:hAnsi="Avenir Next LT Pro"/>
        </w:rPr>
        <w:t>meet at least one element of</w:t>
      </w:r>
      <w:r w:rsidR="00841CE0" w:rsidRPr="00FA71F0">
        <w:rPr>
          <w:rFonts w:ascii="Avenir Next LT Pro" w:hAnsi="Avenir Next LT Pro"/>
        </w:rPr>
        <w:t xml:space="preserve"> WIOA requirements under Section 129(c).   </w:t>
      </w:r>
      <w:r w:rsidR="002F326D" w:rsidRPr="00FA71F0">
        <w:rPr>
          <w:rFonts w:ascii="Avenir Next LT Pro" w:hAnsi="Avenir Next LT Pro"/>
        </w:rPr>
        <w:t xml:space="preserve">The primary grantee is responsible for monitoring the sub-grantee’s youth services and presenting an update in all reports to CWMWDB.  </w:t>
      </w:r>
    </w:p>
    <w:p w14:paraId="4E1DB387" w14:textId="77777777" w:rsidR="00A32284" w:rsidRDefault="00A32284" w:rsidP="00B5356F">
      <w:pPr>
        <w:pStyle w:val="NormalWeb"/>
        <w:spacing w:before="0" w:beforeAutospacing="0" w:after="0" w:afterAutospacing="0"/>
        <w:rPr>
          <w:rFonts w:ascii="Avenir Book" w:eastAsia="Calibri" w:hAnsi="Avenir Book" w:cs="Arial"/>
          <w:bCs/>
        </w:rPr>
      </w:pPr>
    </w:p>
    <w:p w14:paraId="2EEABB6E" w14:textId="284B9614" w:rsidR="004E1D14" w:rsidRPr="00FA71F0" w:rsidRDefault="00A32284" w:rsidP="00B5356F">
      <w:pPr>
        <w:pStyle w:val="NormalWeb"/>
        <w:spacing w:before="0" w:beforeAutospacing="0" w:after="0" w:afterAutospacing="0"/>
        <w:rPr>
          <w:rFonts w:ascii="Avenir Next LT Pro" w:hAnsi="Avenir Next LT Pro"/>
        </w:rPr>
      </w:pPr>
      <w:r w:rsidRPr="00FA71F0">
        <w:rPr>
          <w:rFonts w:ascii="Avenir Next LT Pro" w:hAnsi="Avenir Next LT Pro"/>
        </w:rPr>
        <w:t xml:space="preserve">Anticipated services should </w:t>
      </w:r>
      <w:r w:rsidR="00A95DF9" w:rsidRPr="00FA71F0">
        <w:rPr>
          <w:rFonts w:ascii="Avenir Next LT Pro" w:hAnsi="Avenir Next LT Pro"/>
        </w:rPr>
        <w:t xml:space="preserve">remain under the guise of one or more career pathways with the understanding that such goals may change throughout the </w:t>
      </w:r>
      <w:r w:rsidR="00BF313A" w:rsidRPr="00FA71F0">
        <w:rPr>
          <w:rFonts w:ascii="Avenir Next LT Pro" w:hAnsi="Avenir Next LT Pro"/>
        </w:rPr>
        <w:t>participant</w:t>
      </w:r>
      <w:r w:rsidR="00D3766B" w:rsidRPr="00FA71F0">
        <w:rPr>
          <w:rFonts w:ascii="Avenir Next LT Pro" w:hAnsi="Avenir Next LT Pro"/>
        </w:rPr>
        <w:t>’</w:t>
      </w:r>
      <w:r w:rsidR="00BF313A" w:rsidRPr="00FA71F0">
        <w:rPr>
          <w:rFonts w:ascii="Avenir Next LT Pro" w:hAnsi="Avenir Next LT Pro"/>
        </w:rPr>
        <w:t>s engagement.  Career pathways interest and anticipated services should</w:t>
      </w:r>
      <w:r w:rsidR="00A95DF9" w:rsidRPr="00FA71F0">
        <w:rPr>
          <w:rFonts w:ascii="Avenir Next LT Pro" w:hAnsi="Avenir Next LT Pro"/>
        </w:rPr>
        <w:t xml:space="preserve"> </w:t>
      </w:r>
      <w:r w:rsidRPr="00FA71F0">
        <w:rPr>
          <w:rFonts w:ascii="Avenir Next LT Pro" w:hAnsi="Avenir Next LT Pro"/>
        </w:rPr>
        <w:t>be included in a participant</w:t>
      </w:r>
      <w:r w:rsidR="00A95DF9" w:rsidRPr="00FA71F0">
        <w:rPr>
          <w:rFonts w:ascii="Avenir Next LT Pro" w:hAnsi="Avenir Next LT Pro"/>
        </w:rPr>
        <w:t>’</w:t>
      </w:r>
      <w:r w:rsidRPr="00FA71F0">
        <w:rPr>
          <w:rFonts w:ascii="Avenir Next LT Pro" w:hAnsi="Avenir Next LT Pro"/>
        </w:rPr>
        <w:t>s Individual Training Plan</w:t>
      </w:r>
      <w:r w:rsidR="00E60F8B" w:rsidRPr="00FA71F0">
        <w:rPr>
          <w:rFonts w:ascii="Avenir Next LT Pro" w:hAnsi="Avenir Next LT Pro"/>
        </w:rPr>
        <w:t xml:space="preserve"> </w:t>
      </w:r>
      <w:r w:rsidR="002F326D" w:rsidRPr="00FA71F0">
        <w:rPr>
          <w:rFonts w:ascii="Avenir Next LT Pro" w:hAnsi="Avenir Next LT Pro"/>
        </w:rPr>
        <w:t>(ITP) or Individual Service Strategy (ISS).  O</w:t>
      </w:r>
      <w:r w:rsidR="00A725D3" w:rsidRPr="00FA71F0">
        <w:rPr>
          <w:rFonts w:ascii="Avenir Next LT Pro" w:hAnsi="Avenir Next LT Pro"/>
        </w:rPr>
        <w:t>ngoing d</w:t>
      </w:r>
      <w:r w:rsidR="008863DE" w:rsidRPr="00FA71F0">
        <w:rPr>
          <w:rFonts w:ascii="Avenir Next LT Pro" w:hAnsi="Avenir Next LT Pro"/>
        </w:rPr>
        <w:t>ocumentation capturing</w:t>
      </w:r>
      <w:r w:rsidR="005943C9" w:rsidRPr="00FA71F0">
        <w:rPr>
          <w:rFonts w:ascii="Avenir Next LT Pro" w:hAnsi="Avenir Next LT Pro"/>
        </w:rPr>
        <w:t xml:space="preserve"> service</w:t>
      </w:r>
      <w:r w:rsidR="00A725D3" w:rsidRPr="00FA71F0">
        <w:rPr>
          <w:rFonts w:ascii="Avenir Next LT Pro" w:hAnsi="Avenir Next LT Pro"/>
        </w:rPr>
        <w:t xml:space="preserve"> provision </w:t>
      </w:r>
      <w:r w:rsidR="00E60F8B" w:rsidRPr="00FA71F0">
        <w:rPr>
          <w:rFonts w:ascii="Avenir Next LT Pro" w:hAnsi="Avenir Next LT Pro"/>
        </w:rPr>
        <w:t>shall</w:t>
      </w:r>
      <w:r w:rsidR="005943C9" w:rsidRPr="00FA71F0">
        <w:rPr>
          <w:rFonts w:ascii="Avenir Next LT Pro" w:hAnsi="Avenir Next LT Pro"/>
        </w:rPr>
        <w:t xml:space="preserve"> be uploaded to </w:t>
      </w:r>
      <w:r w:rsidR="00D402A6" w:rsidRPr="00FA71F0">
        <w:rPr>
          <w:rFonts w:ascii="Avenir Next LT Pro" w:hAnsi="Avenir Next LT Pro"/>
        </w:rPr>
        <w:t>participant’s file</w:t>
      </w:r>
      <w:r w:rsidR="00E60F8B" w:rsidRPr="00FA71F0">
        <w:rPr>
          <w:rFonts w:ascii="Avenir Next LT Pro" w:hAnsi="Avenir Next LT Pro"/>
        </w:rPr>
        <w:t>s</w:t>
      </w:r>
      <w:r w:rsidR="00D402A6" w:rsidRPr="00FA71F0">
        <w:rPr>
          <w:rFonts w:ascii="Avenir Next LT Pro" w:hAnsi="Avenir Next LT Pro"/>
        </w:rPr>
        <w:t xml:space="preserve"> in </w:t>
      </w:r>
      <w:r w:rsidR="005943C9" w:rsidRPr="00FA71F0">
        <w:rPr>
          <w:rFonts w:ascii="Avenir Next LT Pro" w:hAnsi="Avenir Next LT Pro"/>
        </w:rPr>
        <w:t>Maine Job Link</w:t>
      </w:r>
      <w:r w:rsidR="00D3766B" w:rsidRPr="00FA71F0">
        <w:rPr>
          <w:rFonts w:ascii="Avenir Next LT Pro" w:hAnsi="Avenir Next LT Pro"/>
        </w:rPr>
        <w:t xml:space="preserve"> (MJL)</w:t>
      </w:r>
      <w:r w:rsidR="008863DE" w:rsidRPr="00FA71F0">
        <w:rPr>
          <w:rFonts w:ascii="Avenir Next LT Pro" w:hAnsi="Avenir Next LT Pro"/>
        </w:rPr>
        <w:t xml:space="preserve">.  </w:t>
      </w:r>
      <w:r w:rsidRPr="00FA71F0">
        <w:rPr>
          <w:rFonts w:ascii="Avenir Next LT Pro" w:hAnsi="Avenir Next LT Pro"/>
        </w:rPr>
        <w:t xml:space="preserve">Services may not be applicable for all participants.   </w:t>
      </w:r>
      <w:r w:rsidR="005943C9" w:rsidRPr="00FA71F0">
        <w:rPr>
          <w:rFonts w:ascii="Avenir Next LT Pro" w:hAnsi="Avenir Next LT Pro"/>
        </w:rPr>
        <w:t xml:space="preserve">If a category’s service </w:t>
      </w:r>
      <w:r w:rsidRPr="00FA71F0">
        <w:rPr>
          <w:rFonts w:ascii="Avenir Next LT Pro" w:hAnsi="Avenir Next LT Pro"/>
        </w:rPr>
        <w:t>went</w:t>
      </w:r>
      <w:r w:rsidR="005943C9" w:rsidRPr="00FA71F0">
        <w:rPr>
          <w:rFonts w:ascii="Avenir Next LT Pro" w:hAnsi="Avenir Next LT Pro"/>
        </w:rPr>
        <w:t xml:space="preserve"> unmet, case managers </w:t>
      </w:r>
      <w:r w:rsidR="00806E10" w:rsidRPr="00FA71F0">
        <w:rPr>
          <w:rFonts w:ascii="Avenir Next LT Pro" w:hAnsi="Avenir Next LT Pro"/>
        </w:rPr>
        <w:t xml:space="preserve">should provide </w:t>
      </w:r>
      <w:r w:rsidR="004E1D14" w:rsidRPr="00FA71F0">
        <w:rPr>
          <w:rFonts w:ascii="Avenir Next LT Pro" w:hAnsi="Avenir Next LT Pro"/>
        </w:rPr>
        <w:t xml:space="preserve">an explanation </w:t>
      </w:r>
      <w:r w:rsidR="005943C9" w:rsidRPr="00FA71F0">
        <w:rPr>
          <w:rFonts w:ascii="Avenir Next LT Pro" w:hAnsi="Avenir Next LT Pro"/>
        </w:rPr>
        <w:t xml:space="preserve">as to why </w:t>
      </w:r>
      <w:r w:rsidR="004E1D14" w:rsidRPr="00FA71F0">
        <w:rPr>
          <w:rFonts w:ascii="Avenir Next LT Pro" w:hAnsi="Avenir Next LT Pro"/>
        </w:rPr>
        <w:t xml:space="preserve">in participant’s case notes.  </w:t>
      </w:r>
    </w:p>
    <w:p w14:paraId="334FEFA0" w14:textId="7818DAE0" w:rsidR="00BF313A" w:rsidRPr="00FA71F0" w:rsidRDefault="00BF313A" w:rsidP="00B5356F">
      <w:pPr>
        <w:pStyle w:val="NormalWeb"/>
        <w:spacing w:before="0" w:beforeAutospacing="0" w:after="0" w:afterAutospacing="0"/>
        <w:rPr>
          <w:rFonts w:ascii="Avenir Next LT Pro" w:hAnsi="Avenir Next LT Pro"/>
        </w:rPr>
      </w:pPr>
    </w:p>
    <w:p w14:paraId="18199281" w14:textId="6FB57582" w:rsidR="00550578" w:rsidRPr="00FA71F0" w:rsidRDefault="0020712A" w:rsidP="00D3766B">
      <w:pPr>
        <w:pStyle w:val="NormalWeb"/>
        <w:spacing w:before="0" w:beforeAutospacing="0" w:after="0" w:afterAutospacing="0"/>
        <w:rPr>
          <w:rFonts w:ascii="Avenir Next LT Pro" w:hAnsi="Avenir Next LT Pro"/>
        </w:rPr>
      </w:pPr>
      <w:r w:rsidRPr="00FA71F0">
        <w:rPr>
          <w:rFonts w:ascii="Avenir Next LT Pro" w:hAnsi="Avenir Next LT Pro"/>
        </w:rPr>
        <w:t xml:space="preserve">Youth services are mandatory, regardless of co-enrollment instances.  However, some services provided under an ITA may meet youth service requirements, especially activities that fall within the work experience, soft skills/mentoring, and case management and service provision categories described above.  Should a participant participate in an ITA, </w:t>
      </w:r>
      <w:r w:rsidR="00D3766B" w:rsidRPr="00FA71F0">
        <w:rPr>
          <w:rFonts w:ascii="Avenir Next LT Pro" w:hAnsi="Avenir Next LT Pro"/>
        </w:rPr>
        <w:t>case notes</w:t>
      </w:r>
      <w:r w:rsidRPr="00FA71F0">
        <w:rPr>
          <w:rFonts w:ascii="Avenir Next LT Pro" w:hAnsi="Avenir Next LT Pro"/>
        </w:rPr>
        <w:t xml:space="preserve"> should clearly delineate the funding stream for each service.    </w:t>
      </w:r>
    </w:p>
    <w:p w14:paraId="49015895" w14:textId="77777777" w:rsidR="002F326D" w:rsidRDefault="002F326D" w:rsidP="00B5356F">
      <w:pPr>
        <w:pStyle w:val="NormalWeb"/>
        <w:spacing w:before="0" w:beforeAutospacing="0" w:after="0" w:afterAutospacing="0"/>
        <w:rPr>
          <w:rFonts w:ascii="Avenir Book" w:eastAsia="Calibri" w:hAnsi="Avenir Book" w:cs="Arial"/>
          <w:bCs/>
        </w:rPr>
      </w:pPr>
    </w:p>
    <w:p w14:paraId="6ED6591D" w14:textId="77777777" w:rsidR="00FA71F0" w:rsidRDefault="00FA71F0" w:rsidP="00FA71F0">
      <w:pPr>
        <w:pStyle w:val="NormalWeb"/>
        <w:spacing w:before="0" w:beforeAutospacing="0" w:after="0" w:afterAutospacing="0"/>
        <w:rPr>
          <w:rFonts w:ascii="Avenir Next LT Pro" w:hAnsi="Avenir Next LT Pro"/>
        </w:rPr>
      </w:pPr>
    </w:p>
    <w:p w14:paraId="2DE8B72A" w14:textId="1E56465E" w:rsidR="00D402A6" w:rsidRPr="00FA71F0" w:rsidRDefault="00D402A6" w:rsidP="00FA71F0">
      <w:pPr>
        <w:pStyle w:val="NormalWeb"/>
        <w:spacing w:before="0" w:beforeAutospacing="0" w:after="0" w:afterAutospacing="0"/>
        <w:rPr>
          <w:rFonts w:ascii="Avenir Next LT Pro" w:hAnsi="Avenir Next LT Pro"/>
        </w:rPr>
      </w:pPr>
      <w:r w:rsidRPr="00FA71F0">
        <w:rPr>
          <w:rFonts w:ascii="Avenir Next LT Pro" w:hAnsi="Avenir Next LT Pro"/>
        </w:rPr>
        <w:t>For further guidance on financial literacy services refer to WIOA section 129(b)</w:t>
      </w:r>
      <w:r w:rsidR="00260DF4" w:rsidRPr="00FA71F0">
        <w:rPr>
          <w:rFonts w:ascii="Avenir Next LT Pro" w:hAnsi="Avenir Next LT Pro"/>
        </w:rPr>
        <w:t>(2)</w:t>
      </w:r>
      <w:r w:rsidRPr="00FA71F0">
        <w:rPr>
          <w:rFonts w:ascii="Avenir Next LT Pro" w:hAnsi="Avenir Next LT Pro"/>
        </w:rPr>
        <w:t xml:space="preserve">(D). </w:t>
      </w:r>
    </w:p>
    <w:p w14:paraId="7CAF2F7A" w14:textId="77777777" w:rsidR="008F5E22" w:rsidRPr="00FA71F0" w:rsidRDefault="008F5E22" w:rsidP="00FA71F0">
      <w:pPr>
        <w:pStyle w:val="NormalWeb"/>
        <w:spacing w:before="0" w:beforeAutospacing="0" w:after="0" w:afterAutospacing="0"/>
        <w:rPr>
          <w:rFonts w:ascii="Avenir Next LT Pro" w:hAnsi="Avenir Next LT Pro"/>
        </w:rPr>
      </w:pPr>
    </w:p>
    <w:p w14:paraId="2F3A7C1D" w14:textId="77777777" w:rsidR="008F5E22" w:rsidRPr="00FA71F0" w:rsidRDefault="008F5E22" w:rsidP="00FA71F0">
      <w:pPr>
        <w:pStyle w:val="NormalWeb"/>
        <w:spacing w:before="0" w:beforeAutospacing="0" w:after="0" w:afterAutospacing="0"/>
        <w:rPr>
          <w:rFonts w:ascii="Avenir Next LT Pro" w:hAnsi="Avenir Next LT Pro"/>
        </w:rPr>
      </w:pPr>
      <w:r w:rsidRPr="00FA71F0">
        <w:rPr>
          <w:rFonts w:ascii="Avenir Next LT Pro" w:hAnsi="Avenir Next LT Pro"/>
        </w:rPr>
        <w:t xml:space="preserve">Executive Director </w:t>
      </w:r>
    </w:p>
    <w:p w14:paraId="71B824AC" w14:textId="5F00D648" w:rsidR="008F5E22" w:rsidRPr="00FA71F0" w:rsidRDefault="008F5E22" w:rsidP="00FA71F0">
      <w:pPr>
        <w:pStyle w:val="NormalWeb"/>
        <w:spacing w:before="0" w:beforeAutospacing="0" w:after="0" w:afterAutospacing="0"/>
        <w:rPr>
          <w:rFonts w:ascii="Avenir Next LT Pro" w:hAnsi="Avenir Next LT Pro"/>
        </w:rPr>
      </w:pPr>
      <w:r w:rsidRPr="00FA71F0">
        <w:rPr>
          <w:rFonts w:ascii="Avenir Next LT Pro" w:hAnsi="Avenir Next LT Pro"/>
        </w:rPr>
        <w:t>Central</w:t>
      </w:r>
      <w:r w:rsidR="00B206C5">
        <w:rPr>
          <w:rFonts w:ascii="Avenir Next LT Pro" w:hAnsi="Avenir Next LT Pro"/>
        </w:rPr>
        <w:t xml:space="preserve"> </w:t>
      </w:r>
      <w:r w:rsidRPr="00FA71F0">
        <w:rPr>
          <w:rFonts w:ascii="Avenir Next LT Pro" w:hAnsi="Avenir Next LT Pro"/>
        </w:rPr>
        <w:t xml:space="preserve">Western Maine WDB </w:t>
      </w:r>
    </w:p>
    <w:p w14:paraId="07917404" w14:textId="48FFF31A" w:rsidR="00806E10" w:rsidRPr="00FA71F0" w:rsidRDefault="00806E10" w:rsidP="00FA71F0">
      <w:pPr>
        <w:pStyle w:val="NormalWeb"/>
        <w:spacing w:before="0" w:beforeAutospacing="0" w:after="0" w:afterAutospacing="0"/>
        <w:rPr>
          <w:rFonts w:ascii="Avenir Next LT Pro" w:hAnsi="Avenir Next LT Pro"/>
        </w:rPr>
      </w:pPr>
    </w:p>
    <w:sectPr w:rsidR="00806E10" w:rsidRPr="00FA71F0" w:rsidSect="00A90181">
      <w:headerReference w:type="default" r:id="rId9"/>
      <w:pgSz w:w="12240" w:h="15840"/>
      <w:pgMar w:top="36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FBE683" w14:textId="77777777" w:rsidR="0006740F" w:rsidRDefault="0006740F">
      <w:r>
        <w:separator/>
      </w:r>
    </w:p>
  </w:endnote>
  <w:endnote w:type="continuationSeparator" w:id="0">
    <w:p w14:paraId="2726B0A3" w14:textId="77777777" w:rsidR="0006740F" w:rsidRDefault="0006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venir Next LT Pro">
    <w:panose1 w:val="020B0504020202020204"/>
    <w:charset w:val="00"/>
    <w:family w:val="swiss"/>
    <w:pitch w:val="variable"/>
    <w:sig w:usb0="800000EF" w:usb1="5000204A" w:usb2="00000000" w:usb3="00000000" w:csb0="00000093"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Avenir Book">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510DC" w14:textId="77777777" w:rsidR="0006740F" w:rsidRDefault="0006740F">
      <w:r>
        <w:separator/>
      </w:r>
    </w:p>
  </w:footnote>
  <w:footnote w:type="continuationSeparator" w:id="0">
    <w:p w14:paraId="5ED8157A" w14:textId="77777777" w:rsidR="0006740F" w:rsidRDefault="00067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C23B0" w14:textId="77777777" w:rsidR="00786882" w:rsidRPr="00786882" w:rsidRDefault="00786882" w:rsidP="00BA180B">
    <w:pPr>
      <w:pStyle w:val="Header"/>
      <w:jc w:val="right"/>
      <w:rPr>
        <w:rFonts w:ascii="Arial" w:hAnsi="Arial" w:cs="Arial"/>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01211"/>
    <w:multiLevelType w:val="hybridMultilevel"/>
    <w:tmpl w:val="FFEED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9262CC7"/>
    <w:multiLevelType w:val="hybridMultilevel"/>
    <w:tmpl w:val="3B18854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08234C"/>
    <w:multiLevelType w:val="hybridMultilevel"/>
    <w:tmpl w:val="2AE03678"/>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0606793"/>
    <w:multiLevelType w:val="hybridMultilevel"/>
    <w:tmpl w:val="7D9E7A0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21248"/>
    <w:multiLevelType w:val="hybridMultilevel"/>
    <w:tmpl w:val="FFEED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2431A15"/>
    <w:multiLevelType w:val="hybridMultilevel"/>
    <w:tmpl w:val="E7B6CFB2"/>
    <w:lvl w:ilvl="0" w:tplc="78FA9CD4">
      <w:start w:val="1"/>
      <w:numFmt w:val="decimal"/>
      <w:lvlText w:val="%1."/>
      <w:lvlJc w:val="left"/>
      <w:pPr>
        <w:ind w:left="360" w:hanging="360"/>
      </w:pPr>
      <w:rPr>
        <w:rFonts w:ascii="Avenir Next LT Pro" w:eastAsia="Calibri" w:hAnsi="Avenir Next LT Pro" w:cs="Arial"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7E7066B8"/>
    <w:multiLevelType w:val="hybridMultilevel"/>
    <w:tmpl w:val="FFEED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3"/>
  </w:num>
  <w:num w:numId="4">
    <w:abstractNumId w:val="2"/>
  </w:num>
  <w:num w:numId="5">
    <w:abstractNumId w:val="6"/>
  </w:num>
  <w:num w:numId="6">
    <w:abstractNumId w:val="0"/>
  </w:num>
  <w:num w:numId="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savePreviewPicture/>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C6D"/>
    <w:rsid w:val="000012CB"/>
    <w:rsid w:val="00005347"/>
    <w:rsid w:val="000055EB"/>
    <w:rsid w:val="00050844"/>
    <w:rsid w:val="00056A6E"/>
    <w:rsid w:val="000623FB"/>
    <w:rsid w:val="00065CB8"/>
    <w:rsid w:val="0006740F"/>
    <w:rsid w:val="00067ED1"/>
    <w:rsid w:val="00070074"/>
    <w:rsid w:val="000701B1"/>
    <w:rsid w:val="00072D71"/>
    <w:rsid w:val="000945FB"/>
    <w:rsid w:val="000A44BA"/>
    <w:rsid w:val="000A77D4"/>
    <w:rsid w:val="000B4A10"/>
    <w:rsid w:val="000B5FDD"/>
    <w:rsid w:val="000C6AE2"/>
    <w:rsid w:val="000D7CF2"/>
    <w:rsid w:val="000E5A2C"/>
    <w:rsid w:val="000F3A27"/>
    <w:rsid w:val="00101A0D"/>
    <w:rsid w:val="001131AA"/>
    <w:rsid w:val="00127F04"/>
    <w:rsid w:val="00145589"/>
    <w:rsid w:val="001543E9"/>
    <w:rsid w:val="00156487"/>
    <w:rsid w:val="001819B9"/>
    <w:rsid w:val="00194051"/>
    <w:rsid w:val="001972CC"/>
    <w:rsid w:val="001A3B3E"/>
    <w:rsid w:val="001B0AC9"/>
    <w:rsid w:val="001B5A4B"/>
    <w:rsid w:val="001B72F1"/>
    <w:rsid w:val="001D34BC"/>
    <w:rsid w:val="001E0F15"/>
    <w:rsid w:val="001F0537"/>
    <w:rsid w:val="001F070B"/>
    <w:rsid w:val="001F1169"/>
    <w:rsid w:val="001F704E"/>
    <w:rsid w:val="001F7676"/>
    <w:rsid w:val="0020712A"/>
    <w:rsid w:val="002079A3"/>
    <w:rsid w:val="00211E91"/>
    <w:rsid w:val="002123C4"/>
    <w:rsid w:val="002265A8"/>
    <w:rsid w:val="0023697B"/>
    <w:rsid w:val="00237DDF"/>
    <w:rsid w:val="002437ED"/>
    <w:rsid w:val="00251384"/>
    <w:rsid w:val="00260DF4"/>
    <w:rsid w:val="002847A0"/>
    <w:rsid w:val="00290505"/>
    <w:rsid w:val="002933CC"/>
    <w:rsid w:val="00293BE2"/>
    <w:rsid w:val="002940A2"/>
    <w:rsid w:val="002A4A2B"/>
    <w:rsid w:val="002C2892"/>
    <w:rsid w:val="002E0E26"/>
    <w:rsid w:val="002F027A"/>
    <w:rsid w:val="002F1E07"/>
    <w:rsid w:val="002F326D"/>
    <w:rsid w:val="002F40C5"/>
    <w:rsid w:val="002F65CE"/>
    <w:rsid w:val="002F68EA"/>
    <w:rsid w:val="002F762C"/>
    <w:rsid w:val="00311230"/>
    <w:rsid w:val="00326FD5"/>
    <w:rsid w:val="00334D3E"/>
    <w:rsid w:val="0033686C"/>
    <w:rsid w:val="003458F6"/>
    <w:rsid w:val="003610B5"/>
    <w:rsid w:val="0036383D"/>
    <w:rsid w:val="00371544"/>
    <w:rsid w:val="00376A68"/>
    <w:rsid w:val="00376A86"/>
    <w:rsid w:val="00377FC2"/>
    <w:rsid w:val="00393782"/>
    <w:rsid w:val="00393E36"/>
    <w:rsid w:val="0039738C"/>
    <w:rsid w:val="003A04ED"/>
    <w:rsid w:val="003A727B"/>
    <w:rsid w:val="003A7ADF"/>
    <w:rsid w:val="003B22E4"/>
    <w:rsid w:val="003B69CA"/>
    <w:rsid w:val="003C316D"/>
    <w:rsid w:val="003C4C48"/>
    <w:rsid w:val="003C559C"/>
    <w:rsid w:val="003C5B82"/>
    <w:rsid w:val="003E2903"/>
    <w:rsid w:val="003F03DC"/>
    <w:rsid w:val="003F6123"/>
    <w:rsid w:val="003F6B31"/>
    <w:rsid w:val="00412D50"/>
    <w:rsid w:val="00421420"/>
    <w:rsid w:val="0042173A"/>
    <w:rsid w:val="004220D1"/>
    <w:rsid w:val="00424B56"/>
    <w:rsid w:val="004370E1"/>
    <w:rsid w:val="00442D66"/>
    <w:rsid w:val="00444D5C"/>
    <w:rsid w:val="00456391"/>
    <w:rsid w:val="00482BF2"/>
    <w:rsid w:val="004979D6"/>
    <w:rsid w:val="004A52EF"/>
    <w:rsid w:val="004B016E"/>
    <w:rsid w:val="004B3FFF"/>
    <w:rsid w:val="004D2AB9"/>
    <w:rsid w:val="004E1D14"/>
    <w:rsid w:val="004E2692"/>
    <w:rsid w:val="00515635"/>
    <w:rsid w:val="00524716"/>
    <w:rsid w:val="00535DA7"/>
    <w:rsid w:val="00537BC4"/>
    <w:rsid w:val="005417A5"/>
    <w:rsid w:val="005422DF"/>
    <w:rsid w:val="00550578"/>
    <w:rsid w:val="00553EA8"/>
    <w:rsid w:val="00554FC9"/>
    <w:rsid w:val="005573AC"/>
    <w:rsid w:val="005601A7"/>
    <w:rsid w:val="005821DA"/>
    <w:rsid w:val="00584ACD"/>
    <w:rsid w:val="005943C9"/>
    <w:rsid w:val="005972D2"/>
    <w:rsid w:val="005A433E"/>
    <w:rsid w:val="005A784A"/>
    <w:rsid w:val="005B1C15"/>
    <w:rsid w:val="005B6639"/>
    <w:rsid w:val="005C0EEC"/>
    <w:rsid w:val="005C3AC9"/>
    <w:rsid w:val="005F1352"/>
    <w:rsid w:val="005F516D"/>
    <w:rsid w:val="005F5C6D"/>
    <w:rsid w:val="00611889"/>
    <w:rsid w:val="00613252"/>
    <w:rsid w:val="00614DF7"/>
    <w:rsid w:val="0061549F"/>
    <w:rsid w:val="00620536"/>
    <w:rsid w:val="006253A2"/>
    <w:rsid w:val="00637E0A"/>
    <w:rsid w:val="00660D2D"/>
    <w:rsid w:val="00661320"/>
    <w:rsid w:val="006707AF"/>
    <w:rsid w:val="0067588D"/>
    <w:rsid w:val="0069761A"/>
    <w:rsid w:val="006A7A61"/>
    <w:rsid w:val="006B31EC"/>
    <w:rsid w:val="006B7851"/>
    <w:rsid w:val="006C7D5E"/>
    <w:rsid w:val="006D28CB"/>
    <w:rsid w:val="006D4CCF"/>
    <w:rsid w:val="006E0365"/>
    <w:rsid w:val="006E0CB3"/>
    <w:rsid w:val="006E282D"/>
    <w:rsid w:val="0070184C"/>
    <w:rsid w:val="00701B7D"/>
    <w:rsid w:val="0071029A"/>
    <w:rsid w:val="00714E9A"/>
    <w:rsid w:val="00715DE5"/>
    <w:rsid w:val="007210D9"/>
    <w:rsid w:val="00722F70"/>
    <w:rsid w:val="00725384"/>
    <w:rsid w:val="00754D0E"/>
    <w:rsid w:val="00755A81"/>
    <w:rsid w:val="00755F73"/>
    <w:rsid w:val="007570C0"/>
    <w:rsid w:val="00775C72"/>
    <w:rsid w:val="00782DCD"/>
    <w:rsid w:val="0078404C"/>
    <w:rsid w:val="00786882"/>
    <w:rsid w:val="0078706A"/>
    <w:rsid w:val="007875F3"/>
    <w:rsid w:val="00793A8C"/>
    <w:rsid w:val="00794C45"/>
    <w:rsid w:val="007A1F22"/>
    <w:rsid w:val="007A517B"/>
    <w:rsid w:val="007B5223"/>
    <w:rsid w:val="007B7BC6"/>
    <w:rsid w:val="007C0029"/>
    <w:rsid w:val="007C456E"/>
    <w:rsid w:val="007C4A15"/>
    <w:rsid w:val="007D136D"/>
    <w:rsid w:val="007D3738"/>
    <w:rsid w:val="007D50EC"/>
    <w:rsid w:val="007D5E72"/>
    <w:rsid w:val="007D690C"/>
    <w:rsid w:val="007D6D06"/>
    <w:rsid w:val="007D742E"/>
    <w:rsid w:val="007F36F5"/>
    <w:rsid w:val="007F5853"/>
    <w:rsid w:val="00801595"/>
    <w:rsid w:val="00805CB7"/>
    <w:rsid w:val="00806E10"/>
    <w:rsid w:val="00811DAA"/>
    <w:rsid w:val="008149A0"/>
    <w:rsid w:val="008225BB"/>
    <w:rsid w:val="00827004"/>
    <w:rsid w:val="00827B2F"/>
    <w:rsid w:val="008330B3"/>
    <w:rsid w:val="0084049C"/>
    <w:rsid w:val="00841CE0"/>
    <w:rsid w:val="00844605"/>
    <w:rsid w:val="008512E1"/>
    <w:rsid w:val="00853AB1"/>
    <w:rsid w:val="00854AE3"/>
    <w:rsid w:val="0085693C"/>
    <w:rsid w:val="008614EB"/>
    <w:rsid w:val="00864C50"/>
    <w:rsid w:val="00872444"/>
    <w:rsid w:val="00882D95"/>
    <w:rsid w:val="008863DE"/>
    <w:rsid w:val="00892556"/>
    <w:rsid w:val="00893A0E"/>
    <w:rsid w:val="00895CC8"/>
    <w:rsid w:val="0089721A"/>
    <w:rsid w:val="008A1C69"/>
    <w:rsid w:val="008A5C90"/>
    <w:rsid w:val="008A67CD"/>
    <w:rsid w:val="008B5130"/>
    <w:rsid w:val="008C1E6B"/>
    <w:rsid w:val="008D4072"/>
    <w:rsid w:val="008E183A"/>
    <w:rsid w:val="008E31E6"/>
    <w:rsid w:val="008E49C8"/>
    <w:rsid w:val="008E5A96"/>
    <w:rsid w:val="008E6F99"/>
    <w:rsid w:val="008F138F"/>
    <w:rsid w:val="008F2018"/>
    <w:rsid w:val="008F5E22"/>
    <w:rsid w:val="0090080A"/>
    <w:rsid w:val="009120EF"/>
    <w:rsid w:val="00915BC5"/>
    <w:rsid w:val="00921099"/>
    <w:rsid w:val="00921666"/>
    <w:rsid w:val="009242A3"/>
    <w:rsid w:val="009242FC"/>
    <w:rsid w:val="00926EFD"/>
    <w:rsid w:val="00930A12"/>
    <w:rsid w:val="009635A1"/>
    <w:rsid w:val="00974598"/>
    <w:rsid w:val="009859E0"/>
    <w:rsid w:val="0099237A"/>
    <w:rsid w:val="009A1061"/>
    <w:rsid w:val="009A20FB"/>
    <w:rsid w:val="009A2E74"/>
    <w:rsid w:val="009A467A"/>
    <w:rsid w:val="009A65C3"/>
    <w:rsid w:val="009B71DE"/>
    <w:rsid w:val="009E0027"/>
    <w:rsid w:val="009E0178"/>
    <w:rsid w:val="009E1012"/>
    <w:rsid w:val="009E4E86"/>
    <w:rsid w:val="00A16F6B"/>
    <w:rsid w:val="00A22029"/>
    <w:rsid w:val="00A32284"/>
    <w:rsid w:val="00A4184E"/>
    <w:rsid w:val="00A41A84"/>
    <w:rsid w:val="00A43079"/>
    <w:rsid w:val="00A510EA"/>
    <w:rsid w:val="00A51C58"/>
    <w:rsid w:val="00A55069"/>
    <w:rsid w:val="00A61FD1"/>
    <w:rsid w:val="00A671C5"/>
    <w:rsid w:val="00A67BA6"/>
    <w:rsid w:val="00A725D3"/>
    <w:rsid w:val="00A73835"/>
    <w:rsid w:val="00A75061"/>
    <w:rsid w:val="00A8487A"/>
    <w:rsid w:val="00A90181"/>
    <w:rsid w:val="00A95DF9"/>
    <w:rsid w:val="00AB0F6B"/>
    <w:rsid w:val="00AB45E8"/>
    <w:rsid w:val="00AC1DE8"/>
    <w:rsid w:val="00AD163E"/>
    <w:rsid w:val="00AD1813"/>
    <w:rsid w:val="00AD4A67"/>
    <w:rsid w:val="00AF0B79"/>
    <w:rsid w:val="00AF0DAB"/>
    <w:rsid w:val="00B037DF"/>
    <w:rsid w:val="00B04745"/>
    <w:rsid w:val="00B069D4"/>
    <w:rsid w:val="00B069EF"/>
    <w:rsid w:val="00B10C74"/>
    <w:rsid w:val="00B1704A"/>
    <w:rsid w:val="00B206C5"/>
    <w:rsid w:val="00B36B02"/>
    <w:rsid w:val="00B36EA6"/>
    <w:rsid w:val="00B45D68"/>
    <w:rsid w:val="00B476FA"/>
    <w:rsid w:val="00B53512"/>
    <w:rsid w:val="00B5356F"/>
    <w:rsid w:val="00B57C50"/>
    <w:rsid w:val="00B71228"/>
    <w:rsid w:val="00B8744F"/>
    <w:rsid w:val="00BA180B"/>
    <w:rsid w:val="00BA3B80"/>
    <w:rsid w:val="00BA772D"/>
    <w:rsid w:val="00BB030A"/>
    <w:rsid w:val="00BB5FA2"/>
    <w:rsid w:val="00BE2838"/>
    <w:rsid w:val="00BE5742"/>
    <w:rsid w:val="00BF05CE"/>
    <w:rsid w:val="00BF0ACC"/>
    <w:rsid w:val="00BF108F"/>
    <w:rsid w:val="00BF313A"/>
    <w:rsid w:val="00BF3182"/>
    <w:rsid w:val="00BF37F2"/>
    <w:rsid w:val="00C0616C"/>
    <w:rsid w:val="00C13813"/>
    <w:rsid w:val="00C2706D"/>
    <w:rsid w:val="00C51979"/>
    <w:rsid w:val="00C545DC"/>
    <w:rsid w:val="00C5514D"/>
    <w:rsid w:val="00C55CB6"/>
    <w:rsid w:val="00C55E89"/>
    <w:rsid w:val="00C5690A"/>
    <w:rsid w:val="00C62766"/>
    <w:rsid w:val="00C7761D"/>
    <w:rsid w:val="00C8219C"/>
    <w:rsid w:val="00CB2364"/>
    <w:rsid w:val="00CB4DB7"/>
    <w:rsid w:val="00CB6167"/>
    <w:rsid w:val="00CC123A"/>
    <w:rsid w:val="00D06880"/>
    <w:rsid w:val="00D12875"/>
    <w:rsid w:val="00D13F42"/>
    <w:rsid w:val="00D34134"/>
    <w:rsid w:val="00D3766B"/>
    <w:rsid w:val="00D402A6"/>
    <w:rsid w:val="00D413BD"/>
    <w:rsid w:val="00D47053"/>
    <w:rsid w:val="00D553E2"/>
    <w:rsid w:val="00D615DF"/>
    <w:rsid w:val="00D67CF0"/>
    <w:rsid w:val="00D71C5A"/>
    <w:rsid w:val="00D80FB9"/>
    <w:rsid w:val="00D9668B"/>
    <w:rsid w:val="00DB10BA"/>
    <w:rsid w:val="00DB15E4"/>
    <w:rsid w:val="00DB679F"/>
    <w:rsid w:val="00DC0A0D"/>
    <w:rsid w:val="00DE2A95"/>
    <w:rsid w:val="00DE4F88"/>
    <w:rsid w:val="00DE74BF"/>
    <w:rsid w:val="00DF614A"/>
    <w:rsid w:val="00DF62E3"/>
    <w:rsid w:val="00DF786A"/>
    <w:rsid w:val="00E01CF7"/>
    <w:rsid w:val="00E05DA0"/>
    <w:rsid w:val="00E170D6"/>
    <w:rsid w:val="00E209D7"/>
    <w:rsid w:val="00E2475E"/>
    <w:rsid w:val="00E30F01"/>
    <w:rsid w:val="00E3240D"/>
    <w:rsid w:val="00E346D2"/>
    <w:rsid w:val="00E35030"/>
    <w:rsid w:val="00E541F4"/>
    <w:rsid w:val="00E60F8B"/>
    <w:rsid w:val="00E618F9"/>
    <w:rsid w:val="00E6341D"/>
    <w:rsid w:val="00E9471C"/>
    <w:rsid w:val="00EA0702"/>
    <w:rsid w:val="00EB1ACF"/>
    <w:rsid w:val="00EB3F4E"/>
    <w:rsid w:val="00EC5BF1"/>
    <w:rsid w:val="00ED5767"/>
    <w:rsid w:val="00EE5A6F"/>
    <w:rsid w:val="00F04A0F"/>
    <w:rsid w:val="00F059EB"/>
    <w:rsid w:val="00F07669"/>
    <w:rsid w:val="00F31ADC"/>
    <w:rsid w:val="00F33C5B"/>
    <w:rsid w:val="00F471DC"/>
    <w:rsid w:val="00F65B19"/>
    <w:rsid w:val="00F70FBB"/>
    <w:rsid w:val="00F75038"/>
    <w:rsid w:val="00F8058D"/>
    <w:rsid w:val="00F94383"/>
    <w:rsid w:val="00FA4443"/>
    <w:rsid w:val="00FA516A"/>
    <w:rsid w:val="00FA71F0"/>
    <w:rsid w:val="00FA77EE"/>
    <w:rsid w:val="00FB4124"/>
    <w:rsid w:val="00FD095F"/>
    <w:rsid w:val="00FE10C1"/>
    <w:rsid w:val="00FE6114"/>
    <w:rsid w:val="00FF4B57"/>
    <w:rsid w:val="00FF68AC"/>
    <w:rsid w:val="00FF72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36A813"/>
  <w15:chartTrackingRefBased/>
  <w15:docId w15:val="{1BC66F1A-D91F-C94A-A7EB-BC423FC7C9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outlineLvl w:val="1"/>
    </w:pPr>
    <w:rPr>
      <w:b/>
      <w:sz w:val="40"/>
    </w:rPr>
  </w:style>
  <w:style w:type="paragraph" w:styleId="Heading3">
    <w:name w:val="heading 3"/>
    <w:basedOn w:val="Normal"/>
    <w:next w:val="Normal"/>
    <w:qFormat/>
    <w:pPr>
      <w:keepNext/>
      <w:outlineLvl w:val="2"/>
    </w:pPr>
    <w:rPr>
      <w:i/>
      <w:iCs/>
    </w:rPr>
  </w:style>
  <w:style w:type="paragraph" w:styleId="Heading4">
    <w:name w:val="heading 4"/>
    <w:basedOn w:val="Normal"/>
    <w:next w:val="Normal"/>
    <w:qFormat/>
    <w:pPr>
      <w:keepNext/>
      <w:jc w:val="center"/>
      <w:outlineLvl w:val="3"/>
    </w:pPr>
    <w:rPr>
      <w:rFonts w:ascii="Arial" w:hAnsi="Arial"/>
      <w:b/>
      <w:i/>
      <w:sz w:val="32"/>
    </w:rPr>
  </w:style>
  <w:style w:type="paragraph" w:styleId="Heading5">
    <w:name w:val="heading 5"/>
    <w:basedOn w:val="Normal"/>
    <w:next w:val="Normal"/>
    <w:qFormat/>
    <w:pPr>
      <w:keepNext/>
      <w:jc w:val="center"/>
      <w:outlineLvl w:val="4"/>
    </w:pPr>
    <w:rPr>
      <w:rFonts w:ascii="Arial" w:hAnsi="Arial"/>
      <w:b/>
      <w:i/>
      <w:sz w:val="22"/>
    </w:rPr>
  </w:style>
  <w:style w:type="paragraph" w:styleId="Heading6">
    <w:name w:val="heading 6"/>
    <w:basedOn w:val="Normal"/>
    <w:next w:val="Normal"/>
    <w:qFormat/>
    <w:pPr>
      <w:keepNext/>
      <w:outlineLvl w:val="5"/>
    </w:pPr>
    <w:rPr>
      <w:b/>
      <w:i/>
      <w:sz w:val="18"/>
    </w:rPr>
  </w:style>
  <w:style w:type="paragraph" w:styleId="Heading7">
    <w:name w:val="heading 7"/>
    <w:basedOn w:val="Normal"/>
    <w:next w:val="Normal"/>
    <w:qFormat/>
    <w:pPr>
      <w:keepNext/>
      <w:pBdr>
        <w:bottom w:val="single" w:sz="4" w:space="1" w:color="auto"/>
      </w:pBdr>
      <w:jc w:val="center"/>
      <w:outlineLvl w:val="6"/>
    </w:pPr>
    <w:rPr>
      <w:b/>
      <w:i/>
      <w:sz w:val="18"/>
    </w:rPr>
  </w:style>
  <w:style w:type="paragraph" w:styleId="Heading8">
    <w:name w:val="heading 8"/>
    <w:basedOn w:val="Normal"/>
    <w:next w:val="Normal"/>
    <w:qFormat/>
    <w:pPr>
      <w:keepNext/>
      <w:outlineLvl w:val="7"/>
    </w:pPr>
    <w:rPr>
      <w:rFonts w:ascii="Arial" w:hAnsi="Arial"/>
      <w:i/>
      <w:sz w:val="24"/>
    </w:rPr>
  </w:style>
  <w:style w:type="paragraph" w:styleId="Heading9">
    <w:name w:val="heading 9"/>
    <w:basedOn w:val="Normal"/>
    <w:next w:val="Normal"/>
    <w:qFormat/>
    <w:pPr>
      <w:keepNext/>
      <w:outlineLvl w:val="8"/>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
    <w:name w:val="Body Text"/>
    <w:basedOn w:val="Normal"/>
    <w:rPr>
      <w:color w:val="0000FF"/>
      <w:sz w:val="24"/>
      <w:szCs w:val="24"/>
    </w:rPr>
  </w:style>
  <w:style w:type="paragraph" w:styleId="BodyText2">
    <w:name w:val="Body Text 2"/>
    <w:basedOn w:val="Normal"/>
    <w:rPr>
      <w:rFonts w:ascii="Arial" w:hAnsi="Arial"/>
      <w:sz w:val="22"/>
    </w:rPr>
  </w:style>
  <w:style w:type="paragraph" w:styleId="Header">
    <w:name w:val="header"/>
    <w:basedOn w:val="Normal"/>
    <w:rsid w:val="005F5C6D"/>
    <w:pPr>
      <w:tabs>
        <w:tab w:val="center" w:pos="4320"/>
        <w:tab w:val="right" w:pos="8640"/>
      </w:tabs>
    </w:pPr>
  </w:style>
  <w:style w:type="paragraph" w:styleId="Footer">
    <w:name w:val="footer"/>
    <w:basedOn w:val="Normal"/>
    <w:rsid w:val="005F5C6D"/>
    <w:pPr>
      <w:tabs>
        <w:tab w:val="center" w:pos="4320"/>
        <w:tab w:val="right" w:pos="8640"/>
      </w:tabs>
    </w:pPr>
  </w:style>
  <w:style w:type="paragraph" w:styleId="BalloonText">
    <w:name w:val="Balloon Text"/>
    <w:basedOn w:val="Normal"/>
    <w:semiHidden/>
    <w:rsid w:val="00620536"/>
    <w:rPr>
      <w:rFonts w:ascii="Tahoma" w:hAnsi="Tahoma" w:cs="Tahoma"/>
      <w:sz w:val="16"/>
      <w:szCs w:val="16"/>
    </w:rPr>
  </w:style>
  <w:style w:type="paragraph" w:styleId="ListParagraph">
    <w:name w:val="List Paragraph"/>
    <w:basedOn w:val="Normal"/>
    <w:uiPriority w:val="34"/>
    <w:qFormat/>
    <w:rsid w:val="007D5E72"/>
    <w:pPr>
      <w:ind w:left="720"/>
    </w:pPr>
    <w:rPr>
      <w:rFonts w:ascii="Calibri" w:eastAsia="Calibri" w:hAnsi="Calibri"/>
      <w:sz w:val="22"/>
      <w:szCs w:val="22"/>
    </w:rPr>
  </w:style>
  <w:style w:type="paragraph" w:customStyle="1" w:styleId="fp">
    <w:name w:val="fp"/>
    <w:basedOn w:val="Normal"/>
    <w:rsid w:val="00B53512"/>
    <w:pPr>
      <w:spacing w:before="100" w:beforeAutospacing="1" w:after="100" w:afterAutospacing="1"/>
    </w:pPr>
    <w:rPr>
      <w:sz w:val="24"/>
      <w:szCs w:val="24"/>
    </w:rPr>
  </w:style>
  <w:style w:type="character" w:customStyle="1" w:styleId="apple-converted-space">
    <w:name w:val="apple-converted-space"/>
    <w:rsid w:val="00B53512"/>
  </w:style>
  <w:style w:type="paragraph" w:styleId="NormalWeb">
    <w:name w:val="Normal (Web)"/>
    <w:basedOn w:val="Normal"/>
    <w:uiPriority w:val="99"/>
    <w:unhideWhenUsed/>
    <w:rsid w:val="00D553E2"/>
    <w:pPr>
      <w:spacing w:before="100" w:beforeAutospacing="1" w:after="100" w:afterAutospacing="1"/>
    </w:pPr>
    <w:rPr>
      <w:sz w:val="24"/>
      <w:szCs w:val="24"/>
    </w:rPr>
  </w:style>
  <w:style w:type="paragraph" w:styleId="FootnoteText">
    <w:name w:val="footnote text"/>
    <w:basedOn w:val="Normal"/>
    <w:link w:val="FootnoteTextChar"/>
    <w:rsid w:val="00CB4DB7"/>
  </w:style>
  <w:style w:type="character" w:customStyle="1" w:styleId="FootnoteTextChar">
    <w:name w:val="Footnote Text Char"/>
    <w:basedOn w:val="DefaultParagraphFont"/>
    <w:link w:val="FootnoteText"/>
    <w:rsid w:val="00CB4DB7"/>
  </w:style>
  <w:style w:type="character" w:styleId="FootnoteReference">
    <w:name w:val="footnote reference"/>
    <w:basedOn w:val="DefaultParagraphFont"/>
    <w:rsid w:val="00CB4DB7"/>
    <w:rPr>
      <w:vertAlign w:val="superscript"/>
    </w:rPr>
  </w:style>
  <w:style w:type="paragraph" w:styleId="Revision">
    <w:name w:val="Revision"/>
    <w:hidden/>
    <w:uiPriority w:val="99"/>
    <w:semiHidden/>
    <w:rsid w:val="007A1F22"/>
  </w:style>
  <w:style w:type="character" w:styleId="CommentReference">
    <w:name w:val="annotation reference"/>
    <w:basedOn w:val="DefaultParagraphFont"/>
    <w:rsid w:val="005F1352"/>
    <w:rPr>
      <w:sz w:val="16"/>
      <w:szCs w:val="16"/>
    </w:rPr>
  </w:style>
  <w:style w:type="paragraph" w:styleId="CommentText">
    <w:name w:val="annotation text"/>
    <w:basedOn w:val="Normal"/>
    <w:link w:val="CommentTextChar"/>
    <w:rsid w:val="005F1352"/>
  </w:style>
  <w:style w:type="character" w:customStyle="1" w:styleId="CommentTextChar">
    <w:name w:val="Comment Text Char"/>
    <w:basedOn w:val="DefaultParagraphFont"/>
    <w:link w:val="CommentText"/>
    <w:rsid w:val="005F1352"/>
  </w:style>
  <w:style w:type="paragraph" w:styleId="CommentSubject">
    <w:name w:val="annotation subject"/>
    <w:basedOn w:val="CommentText"/>
    <w:next w:val="CommentText"/>
    <w:link w:val="CommentSubjectChar"/>
    <w:rsid w:val="005F1352"/>
    <w:rPr>
      <w:b/>
      <w:bCs/>
    </w:rPr>
  </w:style>
  <w:style w:type="character" w:customStyle="1" w:styleId="CommentSubjectChar">
    <w:name w:val="Comment Subject Char"/>
    <w:basedOn w:val="CommentTextChar"/>
    <w:link w:val="CommentSubject"/>
    <w:rsid w:val="005F135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76347">
      <w:bodyDiv w:val="1"/>
      <w:marLeft w:val="0"/>
      <w:marRight w:val="0"/>
      <w:marTop w:val="0"/>
      <w:marBottom w:val="0"/>
      <w:divBdr>
        <w:top w:val="none" w:sz="0" w:space="0" w:color="auto"/>
        <w:left w:val="none" w:sz="0" w:space="0" w:color="auto"/>
        <w:bottom w:val="none" w:sz="0" w:space="0" w:color="auto"/>
        <w:right w:val="none" w:sz="0" w:space="0" w:color="auto"/>
      </w:divBdr>
    </w:div>
    <w:div w:id="111176374">
      <w:bodyDiv w:val="1"/>
      <w:marLeft w:val="0"/>
      <w:marRight w:val="0"/>
      <w:marTop w:val="0"/>
      <w:marBottom w:val="0"/>
      <w:divBdr>
        <w:top w:val="none" w:sz="0" w:space="0" w:color="auto"/>
        <w:left w:val="none" w:sz="0" w:space="0" w:color="auto"/>
        <w:bottom w:val="none" w:sz="0" w:space="0" w:color="auto"/>
        <w:right w:val="none" w:sz="0" w:space="0" w:color="auto"/>
      </w:divBdr>
    </w:div>
    <w:div w:id="191650157">
      <w:bodyDiv w:val="1"/>
      <w:marLeft w:val="0"/>
      <w:marRight w:val="0"/>
      <w:marTop w:val="0"/>
      <w:marBottom w:val="0"/>
      <w:divBdr>
        <w:top w:val="none" w:sz="0" w:space="0" w:color="auto"/>
        <w:left w:val="none" w:sz="0" w:space="0" w:color="auto"/>
        <w:bottom w:val="none" w:sz="0" w:space="0" w:color="auto"/>
        <w:right w:val="none" w:sz="0" w:space="0" w:color="auto"/>
      </w:divBdr>
    </w:div>
    <w:div w:id="412557196">
      <w:bodyDiv w:val="1"/>
      <w:marLeft w:val="0"/>
      <w:marRight w:val="0"/>
      <w:marTop w:val="0"/>
      <w:marBottom w:val="0"/>
      <w:divBdr>
        <w:top w:val="none" w:sz="0" w:space="0" w:color="auto"/>
        <w:left w:val="none" w:sz="0" w:space="0" w:color="auto"/>
        <w:bottom w:val="none" w:sz="0" w:space="0" w:color="auto"/>
        <w:right w:val="none" w:sz="0" w:space="0" w:color="auto"/>
      </w:divBdr>
    </w:div>
    <w:div w:id="678002033">
      <w:bodyDiv w:val="1"/>
      <w:marLeft w:val="0"/>
      <w:marRight w:val="0"/>
      <w:marTop w:val="0"/>
      <w:marBottom w:val="0"/>
      <w:divBdr>
        <w:top w:val="none" w:sz="0" w:space="0" w:color="auto"/>
        <w:left w:val="none" w:sz="0" w:space="0" w:color="auto"/>
        <w:bottom w:val="none" w:sz="0" w:space="0" w:color="auto"/>
        <w:right w:val="none" w:sz="0" w:space="0" w:color="auto"/>
      </w:divBdr>
    </w:div>
    <w:div w:id="700126704">
      <w:bodyDiv w:val="1"/>
      <w:marLeft w:val="0"/>
      <w:marRight w:val="0"/>
      <w:marTop w:val="0"/>
      <w:marBottom w:val="0"/>
      <w:divBdr>
        <w:top w:val="none" w:sz="0" w:space="0" w:color="auto"/>
        <w:left w:val="none" w:sz="0" w:space="0" w:color="auto"/>
        <w:bottom w:val="none" w:sz="0" w:space="0" w:color="auto"/>
        <w:right w:val="none" w:sz="0" w:space="0" w:color="auto"/>
      </w:divBdr>
    </w:div>
    <w:div w:id="729380156">
      <w:bodyDiv w:val="1"/>
      <w:marLeft w:val="0"/>
      <w:marRight w:val="0"/>
      <w:marTop w:val="0"/>
      <w:marBottom w:val="0"/>
      <w:divBdr>
        <w:top w:val="none" w:sz="0" w:space="0" w:color="auto"/>
        <w:left w:val="none" w:sz="0" w:space="0" w:color="auto"/>
        <w:bottom w:val="none" w:sz="0" w:space="0" w:color="auto"/>
        <w:right w:val="none" w:sz="0" w:space="0" w:color="auto"/>
      </w:divBdr>
    </w:div>
    <w:div w:id="759718327">
      <w:bodyDiv w:val="1"/>
      <w:marLeft w:val="0"/>
      <w:marRight w:val="0"/>
      <w:marTop w:val="0"/>
      <w:marBottom w:val="0"/>
      <w:divBdr>
        <w:top w:val="none" w:sz="0" w:space="0" w:color="auto"/>
        <w:left w:val="none" w:sz="0" w:space="0" w:color="auto"/>
        <w:bottom w:val="none" w:sz="0" w:space="0" w:color="auto"/>
        <w:right w:val="none" w:sz="0" w:space="0" w:color="auto"/>
      </w:divBdr>
    </w:div>
    <w:div w:id="1137600901">
      <w:bodyDiv w:val="1"/>
      <w:marLeft w:val="0"/>
      <w:marRight w:val="0"/>
      <w:marTop w:val="0"/>
      <w:marBottom w:val="0"/>
      <w:divBdr>
        <w:top w:val="none" w:sz="0" w:space="0" w:color="auto"/>
        <w:left w:val="none" w:sz="0" w:space="0" w:color="auto"/>
        <w:bottom w:val="none" w:sz="0" w:space="0" w:color="auto"/>
        <w:right w:val="none" w:sz="0" w:space="0" w:color="auto"/>
      </w:divBdr>
    </w:div>
    <w:div w:id="1697467385">
      <w:bodyDiv w:val="1"/>
      <w:marLeft w:val="0"/>
      <w:marRight w:val="0"/>
      <w:marTop w:val="0"/>
      <w:marBottom w:val="0"/>
      <w:divBdr>
        <w:top w:val="none" w:sz="0" w:space="0" w:color="auto"/>
        <w:left w:val="none" w:sz="0" w:space="0" w:color="auto"/>
        <w:bottom w:val="none" w:sz="0" w:space="0" w:color="auto"/>
        <w:right w:val="none" w:sz="0" w:space="0" w:color="auto"/>
      </w:divBdr>
      <w:divsChild>
        <w:div w:id="438381648">
          <w:marLeft w:val="0"/>
          <w:marRight w:val="0"/>
          <w:marTop w:val="0"/>
          <w:marBottom w:val="0"/>
          <w:divBdr>
            <w:top w:val="none" w:sz="0" w:space="0" w:color="auto"/>
            <w:left w:val="none" w:sz="0" w:space="0" w:color="auto"/>
            <w:bottom w:val="none" w:sz="0" w:space="0" w:color="auto"/>
            <w:right w:val="none" w:sz="0" w:space="0" w:color="auto"/>
          </w:divBdr>
          <w:divsChild>
            <w:div w:id="173543152">
              <w:marLeft w:val="0"/>
              <w:marRight w:val="0"/>
              <w:marTop w:val="0"/>
              <w:marBottom w:val="0"/>
              <w:divBdr>
                <w:top w:val="none" w:sz="0" w:space="0" w:color="auto"/>
                <w:left w:val="none" w:sz="0" w:space="0" w:color="auto"/>
                <w:bottom w:val="none" w:sz="0" w:space="0" w:color="auto"/>
                <w:right w:val="none" w:sz="0" w:space="0" w:color="auto"/>
              </w:divBdr>
              <w:divsChild>
                <w:div w:id="28798924">
                  <w:marLeft w:val="0"/>
                  <w:marRight w:val="0"/>
                  <w:marTop w:val="0"/>
                  <w:marBottom w:val="0"/>
                  <w:divBdr>
                    <w:top w:val="none" w:sz="0" w:space="0" w:color="auto"/>
                    <w:left w:val="none" w:sz="0" w:space="0" w:color="auto"/>
                    <w:bottom w:val="none" w:sz="0" w:space="0" w:color="auto"/>
                    <w:right w:val="none" w:sz="0" w:space="0" w:color="auto"/>
                  </w:divBdr>
                </w:div>
              </w:divsChild>
            </w:div>
            <w:div w:id="223956554">
              <w:marLeft w:val="0"/>
              <w:marRight w:val="0"/>
              <w:marTop w:val="0"/>
              <w:marBottom w:val="0"/>
              <w:divBdr>
                <w:top w:val="none" w:sz="0" w:space="0" w:color="auto"/>
                <w:left w:val="none" w:sz="0" w:space="0" w:color="auto"/>
                <w:bottom w:val="none" w:sz="0" w:space="0" w:color="auto"/>
                <w:right w:val="none" w:sz="0" w:space="0" w:color="auto"/>
              </w:divBdr>
              <w:divsChild>
                <w:div w:id="9226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917144">
          <w:marLeft w:val="0"/>
          <w:marRight w:val="0"/>
          <w:marTop w:val="0"/>
          <w:marBottom w:val="0"/>
          <w:divBdr>
            <w:top w:val="none" w:sz="0" w:space="0" w:color="auto"/>
            <w:left w:val="none" w:sz="0" w:space="0" w:color="auto"/>
            <w:bottom w:val="none" w:sz="0" w:space="0" w:color="auto"/>
            <w:right w:val="none" w:sz="0" w:space="0" w:color="auto"/>
          </w:divBdr>
          <w:divsChild>
            <w:div w:id="20665077">
              <w:marLeft w:val="0"/>
              <w:marRight w:val="0"/>
              <w:marTop w:val="0"/>
              <w:marBottom w:val="0"/>
              <w:divBdr>
                <w:top w:val="none" w:sz="0" w:space="0" w:color="auto"/>
                <w:left w:val="none" w:sz="0" w:space="0" w:color="auto"/>
                <w:bottom w:val="none" w:sz="0" w:space="0" w:color="auto"/>
                <w:right w:val="none" w:sz="0" w:space="0" w:color="auto"/>
              </w:divBdr>
              <w:divsChild>
                <w:div w:id="793060962">
                  <w:marLeft w:val="0"/>
                  <w:marRight w:val="0"/>
                  <w:marTop w:val="0"/>
                  <w:marBottom w:val="0"/>
                  <w:divBdr>
                    <w:top w:val="none" w:sz="0" w:space="0" w:color="auto"/>
                    <w:left w:val="none" w:sz="0" w:space="0" w:color="auto"/>
                    <w:bottom w:val="none" w:sz="0" w:space="0" w:color="auto"/>
                    <w:right w:val="none" w:sz="0" w:space="0" w:color="auto"/>
                  </w:divBdr>
                </w:div>
              </w:divsChild>
            </w:div>
            <w:div w:id="372578584">
              <w:marLeft w:val="0"/>
              <w:marRight w:val="0"/>
              <w:marTop w:val="0"/>
              <w:marBottom w:val="0"/>
              <w:divBdr>
                <w:top w:val="none" w:sz="0" w:space="0" w:color="auto"/>
                <w:left w:val="none" w:sz="0" w:space="0" w:color="auto"/>
                <w:bottom w:val="none" w:sz="0" w:space="0" w:color="auto"/>
                <w:right w:val="none" w:sz="0" w:space="0" w:color="auto"/>
              </w:divBdr>
              <w:divsChild>
                <w:div w:id="660043234">
                  <w:marLeft w:val="0"/>
                  <w:marRight w:val="0"/>
                  <w:marTop w:val="0"/>
                  <w:marBottom w:val="0"/>
                  <w:divBdr>
                    <w:top w:val="none" w:sz="0" w:space="0" w:color="auto"/>
                    <w:left w:val="none" w:sz="0" w:space="0" w:color="auto"/>
                    <w:bottom w:val="none" w:sz="0" w:space="0" w:color="auto"/>
                    <w:right w:val="none" w:sz="0" w:space="0" w:color="auto"/>
                  </w:divBdr>
                </w:div>
              </w:divsChild>
            </w:div>
            <w:div w:id="1043406924">
              <w:marLeft w:val="0"/>
              <w:marRight w:val="0"/>
              <w:marTop w:val="0"/>
              <w:marBottom w:val="0"/>
              <w:divBdr>
                <w:top w:val="none" w:sz="0" w:space="0" w:color="auto"/>
                <w:left w:val="none" w:sz="0" w:space="0" w:color="auto"/>
                <w:bottom w:val="none" w:sz="0" w:space="0" w:color="auto"/>
                <w:right w:val="none" w:sz="0" w:space="0" w:color="auto"/>
              </w:divBdr>
              <w:divsChild>
                <w:div w:id="1344553583">
                  <w:marLeft w:val="0"/>
                  <w:marRight w:val="0"/>
                  <w:marTop w:val="0"/>
                  <w:marBottom w:val="0"/>
                  <w:divBdr>
                    <w:top w:val="none" w:sz="0" w:space="0" w:color="auto"/>
                    <w:left w:val="none" w:sz="0" w:space="0" w:color="auto"/>
                    <w:bottom w:val="none" w:sz="0" w:space="0" w:color="auto"/>
                    <w:right w:val="none" w:sz="0" w:space="0" w:color="auto"/>
                  </w:divBdr>
                </w:div>
              </w:divsChild>
            </w:div>
            <w:div w:id="1138523810">
              <w:marLeft w:val="0"/>
              <w:marRight w:val="0"/>
              <w:marTop w:val="0"/>
              <w:marBottom w:val="0"/>
              <w:divBdr>
                <w:top w:val="none" w:sz="0" w:space="0" w:color="auto"/>
                <w:left w:val="none" w:sz="0" w:space="0" w:color="auto"/>
                <w:bottom w:val="none" w:sz="0" w:space="0" w:color="auto"/>
                <w:right w:val="none" w:sz="0" w:space="0" w:color="auto"/>
              </w:divBdr>
              <w:divsChild>
                <w:div w:id="946428632">
                  <w:marLeft w:val="0"/>
                  <w:marRight w:val="0"/>
                  <w:marTop w:val="0"/>
                  <w:marBottom w:val="0"/>
                  <w:divBdr>
                    <w:top w:val="none" w:sz="0" w:space="0" w:color="auto"/>
                    <w:left w:val="none" w:sz="0" w:space="0" w:color="auto"/>
                    <w:bottom w:val="none" w:sz="0" w:space="0" w:color="auto"/>
                    <w:right w:val="none" w:sz="0" w:space="0" w:color="auto"/>
                  </w:divBdr>
                  <w:divsChild>
                    <w:div w:id="1481581195">
                      <w:marLeft w:val="0"/>
                      <w:marRight w:val="0"/>
                      <w:marTop w:val="0"/>
                      <w:marBottom w:val="0"/>
                      <w:divBdr>
                        <w:top w:val="none" w:sz="0" w:space="0" w:color="auto"/>
                        <w:left w:val="none" w:sz="0" w:space="0" w:color="auto"/>
                        <w:bottom w:val="none" w:sz="0" w:space="0" w:color="auto"/>
                        <w:right w:val="none" w:sz="0" w:space="0" w:color="auto"/>
                      </w:divBdr>
                    </w:div>
                  </w:divsChild>
                </w:div>
                <w:div w:id="1278218895">
                  <w:marLeft w:val="0"/>
                  <w:marRight w:val="0"/>
                  <w:marTop w:val="0"/>
                  <w:marBottom w:val="0"/>
                  <w:divBdr>
                    <w:top w:val="none" w:sz="0" w:space="0" w:color="auto"/>
                    <w:left w:val="none" w:sz="0" w:space="0" w:color="auto"/>
                    <w:bottom w:val="none" w:sz="0" w:space="0" w:color="auto"/>
                    <w:right w:val="none" w:sz="0" w:space="0" w:color="auto"/>
                  </w:divBdr>
                  <w:divsChild>
                    <w:div w:id="963076959">
                      <w:marLeft w:val="0"/>
                      <w:marRight w:val="0"/>
                      <w:marTop w:val="0"/>
                      <w:marBottom w:val="0"/>
                      <w:divBdr>
                        <w:top w:val="none" w:sz="0" w:space="0" w:color="auto"/>
                        <w:left w:val="none" w:sz="0" w:space="0" w:color="auto"/>
                        <w:bottom w:val="none" w:sz="0" w:space="0" w:color="auto"/>
                        <w:right w:val="none" w:sz="0" w:space="0" w:color="auto"/>
                      </w:divBdr>
                    </w:div>
                  </w:divsChild>
                </w:div>
                <w:div w:id="1746567059">
                  <w:marLeft w:val="0"/>
                  <w:marRight w:val="0"/>
                  <w:marTop w:val="0"/>
                  <w:marBottom w:val="0"/>
                  <w:divBdr>
                    <w:top w:val="none" w:sz="0" w:space="0" w:color="auto"/>
                    <w:left w:val="none" w:sz="0" w:space="0" w:color="auto"/>
                    <w:bottom w:val="none" w:sz="0" w:space="0" w:color="auto"/>
                    <w:right w:val="none" w:sz="0" w:space="0" w:color="auto"/>
                  </w:divBdr>
                  <w:divsChild>
                    <w:div w:id="158009484">
                      <w:marLeft w:val="0"/>
                      <w:marRight w:val="0"/>
                      <w:marTop w:val="0"/>
                      <w:marBottom w:val="0"/>
                      <w:divBdr>
                        <w:top w:val="none" w:sz="0" w:space="0" w:color="auto"/>
                        <w:left w:val="none" w:sz="0" w:space="0" w:color="auto"/>
                        <w:bottom w:val="none" w:sz="0" w:space="0" w:color="auto"/>
                        <w:right w:val="none" w:sz="0" w:space="0" w:color="auto"/>
                      </w:divBdr>
                    </w:div>
                  </w:divsChild>
                </w:div>
                <w:div w:id="1865170593">
                  <w:marLeft w:val="0"/>
                  <w:marRight w:val="0"/>
                  <w:marTop w:val="0"/>
                  <w:marBottom w:val="0"/>
                  <w:divBdr>
                    <w:top w:val="none" w:sz="0" w:space="0" w:color="auto"/>
                    <w:left w:val="none" w:sz="0" w:space="0" w:color="auto"/>
                    <w:bottom w:val="none" w:sz="0" w:space="0" w:color="auto"/>
                    <w:right w:val="none" w:sz="0" w:space="0" w:color="auto"/>
                  </w:divBdr>
                  <w:divsChild>
                    <w:div w:id="868834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489742">
          <w:marLeft w:val="0"/>
          <w:marRight w:val="0"/>
          <w:marTop w:val="0"/>
          <w:marBottom w:val="0"/>
          <w:divBdr>
            <w:top w:val="none" w:sz="0" w:space="0" w:color="auto"/>
            <w:left w:val="none" w:sz="0" w:space="0" w:color="auto"/>
            <w:bottom w:val="none" w:sz="0" w:space="0" w:color="auto"/>
            <w:right w:val="none" w:sz="0" w:space="0" w:color="auto"/>
          </w:divBdr>
          <w:divsChild>
            <w:div w:id="614286062">
              <w:marLeft w:val="0"/>
              <w:marRight w:val="0"/>
              <w:marTop w:val="0"/>
              <w:marBottom w:val="0"/>
              <w:divBdr>
                <w:top w:val="none" w:sz="0" w:space="0" w:color="auto"/>
                <w:left w:val="none" w:sz="0" w:space="0" w:color="auto"/>
                <w:bottom w:val="none" w:sz="0" w:space="0" w:color="auto"/>
                <w:right w:val="none" w:sz="0" w:space="0" w:color="auto"/>
              </w:divBdr>
              <w:divsChild>
                <w:div w:id="11341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342976">
          <w:marLeft w:val="0"/>
          <w:marRight w:val="0"/>
          <w:marTop w:val="0"/>
          <w:marBottom w:val="0"/>
          <w:divBdr>
            <w:top w:val="none" w:sz="0" w:space="0" w:color="auto"/>
            <w:left w:val="none" w:sz="0" w:space="0" w:color="auto"/>
            <w:bottom w:val="none" w:sz="0" w:space="0" w:color="auto"/>
            <w:right w:val="none" w:sz="0" w:space="0" w:color="auto"/>
          </w:divBdr>
          <w:divsChild>
            <w:div w:id="33819309">
              <w:marLeft w:val="0"/>
              <w:marRight w:val="0"/>
              <w:marTop w:val="0"/>
              <w:marBottom w:val="0"/>
              <w:divBdr>
                <w:top w:val="none" w:sz="0" w:space="0" w:color="auto"/>
                <w:left w:val="none" w:sz="0" w:space="0" w:color="auto"/>
                <w:bottom w:val="none" w:sz="0" w:space="0" w:color="auto"/>
                <w:right w:val="none" w:sz="0" w:space="0" w:color="auto"/>
              </w:divBdr>
              <w:divsChild>
                <w:div w:id="1405255642">
                  <w:marLeft w:val="0"/>
                  <w:marRight w:val="0"/>
                  <w:marTop w:val="0"/>
                  <w:marBottom w:val="0"/>
                  <w:divBdr>
                    <w:top w:val="none" w:sz="0" w:space="0" w:color="auto"/>
                    <w:left w:val="none" w:sz="0" w:space="0" w:color="auto"/>
                    <w:bottom w:val="none" w:sz="0" w:space="0" w:color="auto"/>
                    <w:right w:val="none" w:sz="0" w:space="0" w:color="auto"/>
                  </w:divBdr>
                </w:div>
              </w:divsChild>
            </w:div>
            <w:div w:id="815103421">
              <w:marLeft w:val="0"/>
              <w:marRight w:val="0"/>
              <w:marTop w:val="0"/>
              <w:marBottom w:val="0"/>
              <w:divBdr>
                <w:top w:val="none" w:sz="0" w:space="0" w:color="auto"/>
                <w:left w:val="none" w:sz="0" w:space="0" w:color="auto"/>
                <w:bottom w:val="none" w:sz="0" w:space="0" w:color="auto"/>
                <w:right w:val="none" w:sz="0" w:space="0" w:color="auto"/>
              </w:divBdr>
              <w:divsChild>
                <w:div w:id="49965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971414">
      <w:bodyDiv w:val="1"/>
      <w:marLeft w:val="0"/>
      <w:marRight w:val="0"/>
      <w:marTop w:val="0"/>
      <w:marBottom w:val="0"/>
      <w:divBdr>
        <w:top w:val="none" w:sz="0" w:space="0" w:color="auto"/>
        <w:left w:val="none" w:sz="0" w:space="0" w:color="auto"/>
        <w:bottom w:val="none" w:sz="0" w:space="0" w:color="auto"/>
        <w:right w:val="none" w:sz="0" w:space="0" w:color="auto"/>
      </w:divBdr>
    </w:div>
    <w:div w:id="1823811554">
      <w:bodyDiv w:val="1"/>
      <w:marLeft w:val="0"/>
      <w:marRight w:val="0"/>
      <w:marTop w:val="0"/>
      <w:marBottom w:val="0"/>
      <w:divBdr>
        <w:top w:val="none" w:sz="0" w:space="0" w:color="auto"/>
        <w:left w:val="none" w:sz="0" w:space="0" w:color="auto"/>
        <w:bottom w:val="none" w:sz="0" w:space="0" w:color="auto"/>
        <w:right w:val="none" w:sz="0" w:space="0" w:color="auto"/>
      </w:divBdr>
      <w:divsChild>
        <w:div w:id="116533687">
          <w:marLeft w:val="0"/>
          <w:marRight w:val="0"/>
          <w:marTop w:val="0"/>
          <w:marBottom w:val="0"/>
          <w:divBdr>
            <w:top w:val="none" w:sz="0" w:space="0" w:color="auto"/>
            <w:left w:val="none" w:sz="0" w:space="0" w:color="auto"/>
            <w:bottom w:val="none" w:sz="0" w:space="0" w:color="auto"/>
            <w:right w:val="none" w:sz="0" w:space="0" w:color="auto"/>
          </w:divBdr>
          <w:divsChild>
            <w:div w:id="1486388256">
              <w:marLeft w:val="0"/>
              <w:marRight w:val="0"/>
              <w:marTop w:val="0"/>
              <w:marBottom w:val="0"/>
              <w:divBdr>
                <w:top w:val="none" w:sz="0" w:space="0" w:color="auto"/>
                <w:left w:val="none" w:sz="0" w:space="0" w:color="auto"/>
                <w:bottom w:val="none" w:sz="0" w:space="0" w:color="auto"/>
                <w:right w:val="none" w:sz="0" w:space="0" w:color="auto"/>
              </w:divBdr>
              <w:divsChild>
                <w:div w:id="3038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0774797">
          <w:marLeft w:val="0"/>
          <w:marRight w:val="0"/>
          <w:marTop w:val="0"/>
          <w:marBottom w:val="0"/>
          <w:divBdr>
            <w:top w:val="none" w:sz="0" w:space="0" w:color="auto"/>
            <w:left w:val="none" w:sz="0" w:space="0" w:color="auto"/>
            <w:bottom w:val="none" w:sz="0" w:space="0" w:color="auto"/>
            <w:right w:val="none" w:sz="0" w:space="0" w:color="auto"/>
          </w:divBdr>
          <w:divsChild>
            <w:div w:id="45303360">
              <w:marLeft w:val="0"/>
              <w:marRight w:val="0"/>
              <w:marTop w:val="0"/>
              <w:marBottom w:val="0"/>
              <w:divBdr>
                <w:top w:val="none" w:sz="0" w:space="0" w:color="auto"/>
                <w:left w:val="none" w:sz="0" w:space="0" w:color="auto"/>
                <w:bottom w:val="none" w:sz="0" w:space="0" w:color="auto"/>
                <w:right w:val="none" w:sz="0" w:space="0" w:color="auto"/>
              </w:divBdr>
              <w:divsChild>
                <w:div w:id="98526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9415">
      <w:bodyDiv w:val="1"/>
      <w:marLeft w:val="0"/>
      <w:marRight w:val="0"/>
      <w:marTop w:val="0"/>
      <w:marBottom w:val="0"/>
      <w:divBdr>
        <w:top w:val="none" w:sz="0" w:space="0" w:color="auto"/>
        <w:left w:val="none" w:sz="0" w:space="0" w:color="auto"/>
        <w:bottom w:val="none" w:sz="0" w:space="0" w:color="auto"/>
        <w:right w:val="none" w:sz="0" w:space="0" w:color="auto"/>
      </w:divBdr>
      <w:divsChild>
        <w:div w:id="2055228451">
          <w:marLeft w:val="0"/>
          <w:marRight w:val="0"/>
          <w:marTop w:val="0"/>
          <w:marBottom w:val="0"/>
          <w:divBdr>
            <w:top w:val="none" w:sz="0" w:space="0" w:color="auto"/>
            <w:left w:val="none" w:sz="0" w:space="0" w:color="auto"/>
            <w:bottom w:val="none" w:sz="0" w:space="0" w:color="auto"/>
            <w:right w:val="none" w:sz="0" w:space="0" w:color="auto"/>
          </w:divBdr>
          <w:divsChild>
            <w:div w:id="133915812">
              <w:marLeft w:val="0"/>
              <w:marRight w:val="0"/>
              <w:marTop w:val="0"/>
              <w:marBottom w:val="0"/>
              <w:divBdr>
                <w:top w:val="none" w:sz="0" w:space="0" w:color="auto"/>
                <w:left w:val="none" w:sz="0" w:space="0" w:color="auto"/>
                <w:bottom w:val="none" w:sz="0" w:space="0" w:color="auto"/>
                <w:right w:val="none" w:sz="0" w:space="0" w:color="auto"/>
              </w:divBdr>
              <w:divsChild>
                <w:div w:id="2139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2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9C37812CB2FD348B277FBD190A1E527" ma:contentTypeVersion="14" ma:contentTypeDescription="Create a new document." ma:contentTypeScope="" ma:versionID="e34a67cf367731d45d95721c2bc9ec43">
  <xsd:schema xmlns:xsd="http://www.w3.org/2001/XMLSchema" xmlns:xs="http://www.w3.org/2001/XMLSchema" xmlns:p="http://schemas.microsoft.com/office/2006/metadata/properties" xmlns:ns2="fbb35285-b053-4f4b-8cba-b142dec06e4d" xmlns:ns3="7ecf4c63-24a0-4472-9e5a-328bdd302c40" targetNamespace="http://schemas.microsoft.com/office/2006/metadata/properties" ma:root="true" ma:fieldsID="9e7b3ea6c30c299a97e417f0ad6cb4ca" ns2:_="" ns3:_="">
    <xsd:import namespace="fbb35285-b053-4f4b-8cba-b142dec06e4d"/>
    <xsd:import namespace="7ecf4c63-24a0-4472-9e5a-328bdd302c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b35285-b053-4f4b-8cba-b142dec06e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10167b4f-2c44-415d-8567-6f6de63bf59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ecf4c63-24a0-4472-9e5a-328bdd302c40"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026837a7-e387-4149-8e9f-c6d4bf654af3}" ma:internalName="TaxCatchAll" ma:showField="CatchAllData" ma:web="7ecf4c63-24a0-4472-9e5a-328bdd302c4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ecf4c63-24a0-4472-9e5a-328bdd302c40" xsi:nil="true"/>
    <lcf76f155ced4ddcb4097134ff3c332f xmlns="fbb35285-b053-4f4b-8cba-b142dec06e4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1D1C43B-AEE8-4C45-A637-F00A70B4FEFB}">
  <ds:schemaRefs>
    <ds:schemaRef ds:uri="http://schemas.openxmlformats.org/officeDocument/2006/bibliography"/>
  </ds:schemaRefs>
</ds:datastoreItem>
</file>

<file path=customXml/itemProps2.xml><?xml version="1.0" encoding="utf-8"?>
<ds:datastoreItem xmlns:ds="http://schemas.openxmlformats.org/officeDocument/2006/customXml" ds:itemID="{C2B2F853-E112-45E3-9851-871EA895C4F7}"/>
</file>

<file path=customXml/itemProps3.xml><?xml version="1.0" encoding="utf-8"?>
<ds:datastoreItem xmlns:ds="http://schemas.openxmlformats.org/officeDocument/2006/customXml" ds:itemID="{F0A96519-AAC4-4AE3-B59E-115F5109D4CA}"/>
</file>

<file path=customXml/itemProps4.xml><?xml version="1.0" encoding="utf-8"?>
<ds:datastoreItem xmlns:ds="http://schemas.openxmlformats.org/officeDocument/2006/customXml" ds:itemID="{B94E6AD0-0BAD-4EBD-89CE-CA7ECEC35767}"/>
</file>

<file path=docProps/app.xml><?xml version="1.0" encoding="utf-8"?>
<Properties xmlns="http://schemas.openxmlformats.org/officeDocument/2006/extended-properties" xmlns:vt="http://schemas.openxmlformats.org/officeDocument/2006/docPropsVTypes">
  <Template>Normal.dotm</Template>
  <TotalTime>23</TotalTime>
  <Pages>4</Pages>
  <Words>1182</Words>
  <Characters>6656</Characters>
  <Application>Microsoft Office Word</Application>
  <DocSecurity>0</DocSecurity>
  <Lines>166</Lines>
  <Paragraphs>82</Paragraphs>
  <ScaleCrop>false</ScaleCrop>
  <HeadingPairs>
    <vt:vector size="2" baseType="variant">
      <vt:variant>
        <vt:lpstr>Title</vt:lpstr>
      </vt:variant>
      <vt:variant>
        <vt:i4>1</vt:i4>
      </vt:variant>
    </vt:vector>
  </HeadingPairs>
  <TitlesOfParts>
    <vt:vector size="1" baseType="lpstr">
      <vt:lpstr>Central/Western Maine Service Delivery Area</vt:lpstr>
    </vt:vector>
  </TitlesOfParts>
  <Company>Preferred Company</Company>
  <LinksUpToDate>false</LinksUpToDate>
  <CharactersWithSpaces>7756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Central/Western Maine Service Delivery Area</dc:title>
  <dc:subject/>
  <dc:creator>Preferred Customer</dc:creator>
  <cp:keywords/>
  <dc:description/>
  <cp:lastModifiedBy>Mary Jones</cp:lastModifiedBy>
  <cp:revision>20</cp:revision>
  <cp:lastPrinted>2017-06-26T13:17:00Z</cp:lastPrinted>
  <dcterms:created xsi:type="dcterms:W3CDTF">2020-12-31T18:43:00Z</dcterms:created>
  <dcterms:modified xsi:type="dcterms:W3CDTF">2020-12-31T19:05:00Z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0x010100B9C37812CB2FD348B277FBD190A1E527</vt:lpwstr>
  </property>
  <property fmtid="{D5CDD505-2E9C-101B-9397-08002B2CF9AE}" pid="3" name="MediaServiceImageTags">
    <vt:lpwstr/>
  </property>
</Properties>
</file>